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775A9">
      <w:pPr>
        <w:pStyle w:val="19"/>
      </w:pPr>
    </w:p>
    <w:p w14:paraId="201390A7">
      <w:pPr>
        <w:pStyle w:val="2"/>
      </w:pPr>
      <w:r>
        <w:rPr>
          <w:rFonts w:hint="eastAsia"/>
          <w:lang w:eastAsia="zh-CN"/>
        </w:rPr>
        <w:t>舟山绿城</w:t>
      </w:r>
      <w:r>
        <w:t>医院自动</w:t>
      </w:r>
      <w:r>
        <w:rPr>
          <w:rFonts w:hint="eastAsia"/>
          <w:lang w:val="en-US" w:eastAsia="zh-CN"/>
        </w:rPr>
        <w:t>售货</w:t>
      </w:r>
      <w:r>
        <w:t>机经营招标文件</w:t>
      </w:r>
    </w:p>
    <w:p w14:paraId="0FEFDF8B">
      <w:pPr>
        <w:pStyle w:val="19"/>
      </w:pPr>
      <w:r>
        <w:rPr>
          <w:b/>
          <w:bCs/>
        </w:rPr>
        <w:t>招标人</w:t>
      </w:r>
      <w:r>
        <w:t>：</w:t>
      </w:r>
      <w:r>
        <w:rPr>
          <w:rFonts w:hint="eastAsia"/>
          <w:lang w:eastAsia="zh-CN"/>
        </w:rPr>
        <w:t>舟山绿城</w:t>
      </w:r>
      <w:r>
        <w:t>医院</w:t>
      </w:r>
    </w:p>
    <w:p w14:paraId="39A907E5">
      <w:pPr>
        <w:pStyle w:val="19"/>
      </w:pPr>
      <w:r>
        <w:rPr>
          <w:b/>
          <w:bCs/>
        </w:rPr>
        <w:t>编制日期</w:t>
      </w:r>
      <w:r>
        <w:t>：2026年</w:t>
      </w:r>
      <w:r>
        <w:rPr>
          <w:rFonts w:hint="eastAsia"/>
          <w:lang w:val="en-US" w:eastAsia="zh-CN"/>
        </w:rPr>
        <w:t>4</w:t>
      </w:r>
      <w:r>
        <w:t>月</w:t>
      </w:r>
      <w:r>
        <w:rPr>
          <w:rFonts w:hint="eastAsia"/>
          <w:lang w:val="en-US" w:eastAsia="zh-CN"/>
        </w:rPr>
        <w:t>14</w:t>
      </w:r>
      <w:r>
        <w:t>日</w:t>
      </w:r>
    </w:p>
    <w:p w14:paraId="5175BF3A">
      <w:pPr>
        <w:pStyle w:val="19"/>
      </w:pPr>
    </w:p>
    <w:p w14:paraId="0C61FB4F">
      <w:pPr>
        <w:pBdr>
          <w:bottom w:val="single" w:color="auto" w:sz="6" w:space="1"/>
        </w:pBdr>
      </w:pPr>
    </w:p>
    <w:p w14:paraId="2543A671">
      <w:pPr>
        <w:pStyle w:val="3"/>
      </w:pPr>
      <w:r>
        <w:t>第一部分 招标公告</w:t>
      </w:r>
    </w:p>
    <w:p w14:paraId="1640F1FD">
      <w:pPr>
        <w:pStyle w:val="4"/>
      </w:pPr>
      <w:r>
        <w:t>一、项目概况</w:t>
      </w:r>
    </w:p>
    <w:p w14:paraId="6E87CF34">
      <w:pPr>
        <w:pStyle w:val="19"/>
        <w:numPr>
          <w:ilvl w:val="0"/>
          <w:numId w:val="0"/>
        </w:numPr>
        <w:ind w:leftChars="0"/>
      </w:pPr>
      <w:r>
        <w:rPr>
          <w:rFonts w:hint="eastAsia"/>
          <w:lang w:val="en-US" w:eastAsia="zh-CN"/>
        </w:rPr>
        <w:t>1.</w:t>
      </w:r>
      <w:r>
        <w:t>项目名称：</w:t>
      </w:r>
      <w:r>
        <w:rPr>
          <w:rFonts w:hint="eastAsia"/>
          <w:lang w:eastAsia="zh-CN"/>
        </w:rPr>
        <w:t>舟山绿城</w:t>
      </w:r>
      <w:r>
        <w:t>医院自动</w:t>
      </w:r>
      <w:r>
        <w:rPr>
          <w:rFonts w:hint="eastAsia"/>
          <w:lang w:val="en-US" w:eastAsia="zh-CN"/>
        </w:rPr>
        <w:t>售货</w:t>
      </w:r>
      <w:r>
        <w:t>机经营服务项目</w:t>
      </w:r>
    </w:p>
    <w:p w14:paraId="16FED8BE">
      <w:pPr>
        <w:pStyle w:val="19"/>
        <w:numPr>
          <w:ilvl w:val="0"/>
          <w:numId w:val="0"/>
        </w:numPr>
        <w:ind w:leftChars="0"/>
      </w:pPr>
      <w:r>
        <w:rPr>
          <w:rFonts w:hint="eastAsia"/>
          <w:lang w:val="en-US" w:eastAsia="zh-CN"/>
        </w:rPr>
        <w:t>2.</w:t>
      </w:r>
      <w:r>
        <w:t>服务地点：</w:t>
      </w:r>
      <w:r>
        <w:rPr>
          <w:rFonts w:hint="eastAsia"/>
          <w:lang w:eastAsia="zh-CN"/>
        </w:rPr>
        <w:t>舟山绿城</w:t>
      </w:r>
      <w:r>
        <w:t>医院</w:t>
      </w:r>
      <w:r>
        <w:rPr>
          <w:rFonts w:hint="eastAsia"/>
          <w:lang w:eastAsia="zh-CN"/>
        </w:rPr>
        <w:t>商店（实用面积约</w:t>
      </w:r>
      <w:r>
        <w:rPr>
          <w:rFonts w:hint="eastAsia"/>
          <w:lang w:val="en-US" w:eastAsia="zh-CN"/>
        </w:rPr>
        <w:t>80平方米</w:t>
      </w:r>
      <w:r>
        <w:rPr>
          <w:rFonts w:hint="eastAsia"/>
          <w:lang w:eastAsia="zh-CN"/>
        </w:rPr>
        <w:t>）</w:t>
      </w:r>
    </w:p>
    <w:p w14:paraId="59D07DBB">
      <w:pPr>
        <w:pStyle w:val="19"/>
        <w:numPr>
          <w:ilvl w:val="0"/>
          <w:numId w:val="0"/>
        </w:numPr>
        <w:ind w:leftChars="0"/>
      </w:pPr>
      <w:r>
        <w:rPr>
          <w:rFonts w:hint="eastAsia"/>
          <w:lang w:val="en-US" w:eastAsia="zh-CN"/>
        </w:rPr>
        <w:t>3.</w:t>
      </w:r>
      <w:r>
        <w:t>服务内容：包括但不限于自动</w:t>
      </w:r>
      <w:r>
        <w:rPr>
          <w:rFonts w:hint="eastAsia"/>
          <w:lang w:val="en-US" w:eastAsia="zh-CN"/>
        </w:rPr>
        <w:t>售货</w:t>
      </w:r>
      <w:r>
        <w:t>机投放、设备采购与安装、日常运维、商品采购与供应、库存管理、销售结算、场地使用费缴纳、售后服务及应急保障等全流程经营服务。</w:t>
      </w:r>
    </w:p>
    <w:p w14:paraId="49C5FA9B">
      <w:pPr>
        <w:pStyle w:val="19"/>
        <w:numPr>
          <w:ilvl w:val="0"/>
          <w:numId w:val="0"/>
        </w:numPr>
        <w:ind w:leftChars="0"/>
      </w:pPr>
      <w:r>
        <w:rPr>
          <w:rFonts w:hint="eastAsia"/>
          <w:lang w:val="en-US" w:eastAsia="zh-CN"/>
        </w:rPr>
        <w:t>4.</w:t>
      </w:r>
      <w:r>
        <w:t>投放数量：</w:t>
      </w:r>
      <w:r>
        <w:rPr>
          <w:rFonts w:hint="eastAsia"/>
          <w:lang w:val="en-US" w:eastAsia="zh-CN"/>
        </w:rPr>
        <w:t xml:space="preserve"> 最终数量以投标单位方案及院方</w:t>
      </w:r>
      <w:r>
        <w:t>核准确认为准。</w:t>
      </w:r>
    </w:p>
    <w:p w14:paraId="4A8FF69B">
      <w:pPr>
        <w:pStyle w:val="19"/>
        <w:numPr>
          <w:ilvl w:val="0"/>
          <w:numId w:val="0"/>
        </w:numPr>
        <w:ind w:leftChars="0"/>
      </w:pPr>
      <w:r>
        <w:rPr>
          <w:rFonts w:hint="eastAsia"/>
          <w:lang w:val="en-US" w:eastAsia="zh-CN"/>
        </w:rPr>
        <w:t>4.</w:t>
      </w:r>
      <w:r>
        <w:t>服务期限：【</w:t>
      </w:r>
      <w:r>
        <w:rPr>
          <w:rFonts w:hint="eastAsia"/>
          <w:lang w:val="en-US" w:eastAsia="zh-CN"/>
        </w:rPr>
        <w:t>3</w:t>
      </w:r>
      <w:r>
        <w:t>】年（自合同签订之日起计算），</w:t>
      </w:r>
      <w:r>
        <w:rPr>
          <w:rFonts w:hint="eastAsia"/>
          <w:sz w:val="24"/>
          <w:szCs w:val="32"/>
          <w:highlight w:val="none"/>
          <w:lang w:val="en-US" w:eastAsia="zh-CN"/>
        </w:rPr>
        <w:t>服务期限到期后设备归招标人所有</w:t>
      </w:r>
      <w:r>
        <w:t>。</w:t>
      </w:r>
    </w:p>
    <w:p w14:paraId="581D5709">
      <w:pPr>
        <w:pStyle w:val="19"/>
        <w:numPr>
          <w:ilvl w:val="0"/>
          <w:numId w:val="0"/>
        </w:numPr>
        <w:ind w:leftChars="0"/>
      </w:pPr>
      <w:r>
        <w:rPr>
          <w:rFonts w:hint="eastAsia"/>
          <w:lang w:val="en-US" w:eastAsia="zh-CN"/>
        </w:rPr>
        <w:t>5.</w:t>
      </w:r>
      <w:r>
        <w:t>资金来源：企业自筹（中标人全额承担设备采购、运营管理等所有相关费用）。</w:t>
      </w:r>
    </w:p>
    <w:p w14:paraId="4282D15C">
      <w:pPr>
        <w:pStyle w:val="4"/>
        <w:rPr>
          <w:rFonts w:ascii="Arial" w:hAnsi="Arial" w:eastAsia="等线" w:cs="Arial"/>
          <w:b w:val="0"/>
          <w:bCs w:val="0"/>
          <w:sz w:val="22"/>
          <w:szCs w:val="22"/>
        </w:rPr>
      </w:pPr>
      <w:r>
        <w:t>二、</w:t>
      </w:r>
      <w:r>
        <w:rPr>
          <w:rFonts w:ascii="Arial" w:hAnsi="Arial" w:eastAsia="等线" w:cs="Arial"/>
          <w:b w:val="0"/>
          <w:bCs w:val="0"/>
          <w:sz w:val="22"/>
          <w:szCs w:val="22"/>
        </w:rPr>
        <w:t>投标人资格要求</w:t>
      </w:r>
    </w:p>
    <w:p w14:paraId="6A7B2ACC">
      <w:pPr>
        <w:pStyle w:val="4"/>
        <w:rPr>
          <w:rFonts w:hint="eastAsia" w:cs="Arial"/>
          <w:b w:val="0"/>
          <w:bCs w:val="0"/>
          <w:sz w:val="22"/>
          <w:szCs w:val="22"/>
          <w:lang w:val="en-US" w:eastAsia="zh-CN"/>
        </w:rPr>
      </w:pPr>
      <w:r>
        <w:rPr>
          <w:rFonts w:hint="eastAsia" w:cs="Arial"/>
          <w:b w:val="0"/>
          <w:bCs w:val="0"/>
          <w:sz w:val="22"/>
          <w:szCs w:val="22"/>
          <w:lang w:val="en-US" w:eastAsia="zh-CN"/>
        </w:rPr>
        <w:t>1、满足《中华人民共和国政府采购法》第二十二条规定；</w:t>
      </w:r>
    </w:p>
    <w:p w14:paraId="5FFBDA13">
      <w:pPr>
        <w:pStyle w:val="4"/>
        <w:rPr>
          <w:rFonts w:hint="eastAsia" w:cs="Arial"/>
          <w:b w:val="0"/>
          <w:bCs w:val="0"/>
          <w:sz w:val="22"/>
          <w:szCs w:val="22"/>
          <w:lang w:val="en-US" w:eastAsia="zh-CN"/>
        </w:rPr>
      </w:pPr>
      <w:r>
        <w:rPr>
          <w:rFonts w:hint="eastAsia" w:cs="Arial"/>
          <w:b w:val="0"/>
          <w:bCs w:val="0"/>
          <w:sz w:val="22"/>
          <w:szCs w:val="22"/>
          <w:lang w:val="en-US" w:eastAsia="zh-CN"/>
        </w:rPr>
        <w:t>2、在投标截止时间止未被列入失信被执行人、重大税收违法失信主体、政府采购严重违法失信行为记录名单。（以在中国政府采购网“政府采购严重违法失信信息记录”模块（http://www.ccgp.gov.cn）、信用中国（https://www.creditchina.gov.cn/）中的查询结果为准。）”。</w:t>
      </w:r>
    </w:p>
    <w:p w14:paraId="70BD8E56">
      <w:pPr>
        <w:pStyle w:val="4"/>
        <w:rPr>
          <w:rFonts w:hint="eastAsia" w:cs="Arial"/>
          <w:b w:val="0"/>
          <w:bCs w:val="0"/>
          <w:sz w:val="22"/>
          <w:szCs w:val="22"/>
          <w:lang w:val="en-US" w:eastAsia="zh-CN"/>
        </w:rPr>
      </w:pPr>
      <w:r>
        <w:rPr>
          <w:rFonts w:hint="eastAsia" w:cs="Arial"/>
          <w:b w:val="0"/>
          <w:bCs w:val="0"/>
          <w:sz w:val="22"/>
          <w:szCs w:val="22"/>
          <w:lang w:val="en-US" w:eastAsia="zh-CN"/>
        </w:rPr>
        <w:t>3、本项目不接受联合体投标。。</w:t>
      </w:r>
    </w:p>
    <w:p w14:paraId="56AC85B1">
      <w:pPr>
        <w:pStyle w:val="4"/>
        <w:rPr>
          <w:rFonts w:hint="eastAsia" w:cs="Arial"/>
          <w:b w:val="0"/>
          <w:bCs w:val="0"/>
          <w:sz w:val="22"/>
          <w:szCs w:val="22"/>
          <w:lang w:val="en-US" w:eastAsia="zh-CN"/>
        </w:rPr>
      </w:pPr>
      <w:r>
        <w:rPr>
          <w:rFonts w:hint="eastAsia" w:cs="Arial"/>
          <w:b w:val="0"/>
          <w:bCs w:val="0"/>
          <w:sz w:val="22"/>
          <w:szCs w:val="22"/>
          <w:lang w:val="en-US" w:eastAsia="zh-CN"/>
        </w:rPr>
        <w:t>4、企业财务和经营状况良好，具备履行合同能力；</w:t>
      </w:r>
    </w:p>
    <w:p w14:paraId="364EDFE8">
      <w:pPr>
        <w:pStyle w:val="4"/>
        <w:rPr>
          <w:rFonts w:hint="eastAsia" w:cs="Arial"/>
          <w:b w:val="0"/>
          <w:bCs w:val="0"/>
          <w:sz w:val="22"/>
          <w:szCs w:val="22"/>
          <w:lang w:val="en-US" w:eastAsia="zh-CN"/>
        </w:rPr>
      </w:pPr>
      <w:r>
        <w:rPr>
          <w:rFonts w:hint="eastAsia" w:cs="Arial"/>
          <w:b w:val="0"/>
          <w:bCs w:val="0"/>
          <w:sz w:val="22"/>
          <w:szCs w:val="22"/>
          <w:lang w:val="en-US" w:eastAsia="zh-CN"/>
        </w:rPr>
        <w:t>5、供应商及产品在以往采购中无不良记录,并在市场中有良好的信誉；</w:t>
      </w:r>
    </w:p>
    <w:p w14:paraId="445CEE5C">
      <w:pPr>
        <w:pStyle w:val="4"/>
        <w:rPr>
          <w:rFonts w:hint="eastAsia" w:cs="Arial"/>
          <w:b w:val="0"/>
          <w:bCs w:val="0"/>
          <w:sz w:val="22"/>
          <w:szCs w:val="22"/>
          <w:lang w:val="en-US" w:eastAsia="zh-CN"/>
        </w:rPr>
      </w:pPr>
      <w:r>
        <w:rPr>
          <w:rFonts w:hint="eastAsia" w:cs="Arial"/>
          <w:b w:val="0"/>
          <w:bCs w:val="0"/>
          <w:sz w:val="22"/>
          <w:szCs w:val="22"/>
          <w:lang w:val="en-US" w:eastAsia="zh-CN"/>
        </w:rPr>
        <w:t>6、法律、行政法规规定的其他条件。</w:t>
      </w:r>
    </w:p>
    <w:p w14:paraId="436B8A08">
      <w:pPr>
        <w:pStyle w:val="4"/>
      </w:pPr>
      <w:r>
        <w:t>三、招标文件的获取</w:t>
      </w:r>
    </w:p>
    <w:p w14:paraId="1F4989B8">
      <w:pPr>
        <w:pStyle w:val="19"/>
        <w:numPr>
          <w:ilvl w:val="0"/>
          <w:numId w:val="0"/>
        </w:numPr>
        <w:ind w:leftChars="0"/>
        <w:rPr>
          <w:rFonts w:hint="eastAsia"/>
          <w:sz w:val="24"/>
          <w:szCs w:val="32"/>
          <w:highlight w:val="yellow"/>
        </w:rPr>
      </w:pPr>
      <w:r>
        <w:rPr>
          <w:rFonts w:hint="eastAsia"/>
          <w:lang w:val="en-US" w:eastAsia="zh-CN"/>
        </w:rPr>
        <w:t>1.获取时间：</w:t>
      </w:r>
      <w:r>
        <w:rPr>
          <w:rFonts w:hint="eastAsia"/>
          <w:sz w:val="24"/>
          <w:szCs w:val="32"/>
          <w:highlight w:val="yellow"/>
        </w:rPr>
        <w:t>026年</w:t>
      </w:r>
      <w:r>
        <w:rPr>
          <w:rFonts w:hint="eastAsia"/>
          <w:sz w:val="24"/>
          <w:szCs w:val="32"/>
          <w:highlight w:val="yellow"/>
          <w:lang w:val="en-US" w:eastAsia="zh-CN"/>
        </w:rPr>
        <w:t>4</w:t>
      </w:r>
      <w:r>
        <w:rPr>
          <w:rFonts w:hint="eastAsia"/>
          <w:sz w:val="24"/>
          <w:szCs w:val="32"/>
          <w:highlight w:val="yellow"/>
        </w:rPr>
        <w:t>月</w:t>
      </w:r>
      <w:r>
        <w:rPr>
          <w:rFonts w:hint="eastAsia"/>
          <w:sz w:val="24"/>
          <w:szCs w:val="32"/>
          <w:highlight w:val="yellow"/>
          <w:lang w:val="en-US" w:eastAsia="zh-CN"/>
        </w:rPr>
        <w:t>15</w:t>
      </w:r>
      <w:r>
        <w:rPr>
          <w:rFonts w:hint="eastAsia"/>
          <w:sz w:val="24"/>
          <w:szCs w:val="32"/>
          <w:highlight w:val="yellow"/>
        </w:rPr>
        <w:t>日至2026年</w:t>
      </w:r>
      <w:r>
        <w:rPr>
          <w:rFonts w:hint="eastAsia"/>
          <w:sz w:val="24"/>
          <w:szCs w:val="32"/>
          <w:highlight w:val="yellow"/>
          <w:lang w:val="en-US" w:eastAsia="zh-CN"/>
        </w:rPr>
        <w:t>4</w:t>
      </w:r>
      <w:r>
        <w:rPr>
          <w:rFonts w:hint="eastAsia"/>
          <w:sz w:val="24"/>
          <w:szCs w:val="32"/>
          <w:highlight w:val="yellow"/>
        </w:rPr>
        <w:t>月</w:t>
      </w:r>
      <w:r>
        <w:rPr>
          <w:rFonts w:hint="eastAsia"/>
          <w:sz w:val="24"/>
          <w:szCs w:val="32"/>
          <w:highlight w:val="yellow"/>
          <w:lang w:val="en-US" w:eastAsia="zh-CN"/>
        </w:rPr>
        <w:t>17</w:t>
      </w:r>
      <w:r>
        <w:rPr>
          <w:rFonts w:hint="eastAsia"/>
          <w:sz w:val="24"/>
          <w:szCs w:val="32"/>
          <w:highlight w:val="yellow"/>
        </w:rPr>
        <w:t>日，上午8:30-11:30；下午14:00-17:00（双休，节假日除外）</w:t>
      </w:r>
    </w:p>
    <w:p w14:paraId="1B065707">
      <w:pPr>
        <w:pStyle w:val="19"/>
        <w:numPr>
          <w:ilvl w:val="0"/>
          <w:numId w:val="0"/>
        </w:numPr>
        <w:ind w:leftChars="0"/>
        <w:rPr>
          <w:rFonts w:hint="eastAsia"/>
          <w:lang w:val="en-US" w:eastAsia="zh-CN"/>
        </w:rPr>
      </w:pPr>
      <w:r>
        <w:rPr>
          <w:rFonts w:hint="eastAsia"/>
          <w:lang w:val="en-US" w:eastAsia="zh-CN"/>
        </w:rPr>
        <w:t>2.获取方式：线上下载</w:t>
      </w:r>
    </w:p>
    <w:p w14:paraId="7D187F60">
      <w:pPr>
        <w:pStyle w:val="19"/>
        <w:numPr>
          <w:ilvl w:val="0"/>
          <w:numId w:val="0"/>
        </w:numPr>
        <w:ind w:leftChars="0"/>
        <w:rPr>
          <w:rFonts w:hint="eastAsia"/>
          <w:lang w:val="en-US" w:eastAsia="zh-CN"/>
        </w:rPr>
      </w:pPr>
      <w:r>
        <w:rPr>
          <w:rFonts w:hint="eastAsia"/>
          <w:lang w:val="en-US" w:eastAsia="zh-CN"/>
        </w:rPr>
        <w:t>3.招标文件费用：免费。</w:t>
      </w:r>
    </w:p>
    <w:p w14:paraId="3197A1C8">
      <w:pPr>
        <w:pStyle w:val="4"/>
      </w:pPr>
      <w:r>
        <w:t>四、投标文件的递交</w:t>
      </w:r>
    </w:p>
    <w:p w14:paraId="1EDF71D3">
      <w:pPr>
        <w:pStyle w:val="19"/>
        <w:numPr>
          <w:ilvl w:val="0"/>
          <w:numId w:val="0"/>
        </w:numPr>
        <w:ind w:leftChars="0"/>
      </w:pPr>
      <w:r>
        <w:rPr>
          <w:rFonts w:hint="eastAsia"/>
          <w:lang w:val="en-US" w:eastAsia="zh-CN"/>
        </w:rPr>
        <w:t>1.</w:t>
      </w:r>
      <w:r>
        <w:t>递交截止时间（开标时间）：</w:t>
      </w:r>
      <w:r>
        <w:rPr>
          <w:rFonts w:hint="eastAsia"/>
          <w:sz w:val="24"/>
          <w:szCs w:val="32"/>
          <w:highlight w:val="yellow"/>
          <w:lang w:val="en-US" w:eastAsia="zh-CN"/>
        </w:rPr>
        <w:t>2026年4月21日14:00前</w:t>
      </w:r>
      <w:bookmarkStart w:id="3" w:name="_GoBack"/>
      <w:bookmarkEnd w:id="3"/>
      <w:r>
        <w:t>。</w:t>
      </w:r>
    </w:p>
    <w:p w14:paraId="4D4AC8FD">
      <w:pPr>
        <w:pStyle w:val="19"/>
        <w:numPr>
          <w:ilvl w:val="0"/>
          <w:numId w:val="0"/>
        </w:numPr>
        <w:ind w:leftChars="0"/>
      </w:pPr>
      <w:r>
        <w:rPr>
          <w:rFonts w:hint="eastAsia"/>
          <w:lang w:val="en-US" w:eastAsia="zh-CN"/>
        </w:rPr>
        <w:t>2.</w:t>
      </w:r>
      <w:r>
        <w:rPr>
          <w:rFonts w:hint="eastAsia"/>
          <w:lang w:eastAsia="zh-CN"/>
        </w:rPr>
        <w:t>寄标书</w:t>
      </w:r>
      <w:r>
        <w:t>地点：</w:t>
      </w:r>
      <w:r>
        <w:rPr>
          <w:rFonts w:hint="eastAsia"/>
          <w:lang w:eastAsia="zh-CN"/>
        </w:rPr>
        <w:t>舟山绿城</w:t>
      </w:r>
      <w:r>
        <w:t>医院。</w:t>
      </w:r>
    </w:p>
    <w:p w14:paraId="239DF4D8">
      <w:pPr>
        <w:pStyle w:val="19"/>
        <w:numPr>
          <w:ilvl w:val="0"/>
          <w:numId w:val="0"/>
        </w:numPr>
        <w:ind w:leftChars="0"/>
        <w:rPr>
          <w:rFonts w:hint="eastAsia"/>
          <w:lang w:val="en-US" w:eastAsia="zh-CN"/>
        </w:rPr>
      </w:pPr>
      <w:r>
        <w:rPr>
          <w:rFonts w:hint="eastAsia"/>
          <w:lang w:val="en-US" w:eastAsia="zh-CN"/>
        </w:rPr>
        <w:t>3.递交要求：投标文件一式【贰】份，其中正本壹份、副本壹份，均需采用A4纸张打印，逐页编码，密封包装（密封袋加盖投标人公章及法定代表人签字），逾期送达或未按要求密封的投标文件，招标人有权拒收。</w:t>
      </w:r>
    </w:p>
    <w:p w14:paraId="74F9A505">
      <w:pPr>
        <w:pStyle w:val="19"/>
        <w:numPr>
          <w:ilvl w:val="0"/>
          <w:numId w:val="0"/>
        </w:numPr>
        <w:ind w:leftChars="0"/>
        <w:rPr>
          <w:rFonts w:hint="eastAsia"/>
          <w:lang w:val="en-US" w:eastAsia="zh-CN"/>
        </w:rPr>
      </w:pPr>
      <w:r>
        <w:rPr>
          <w:rFonts w:hint="eastAsia"/>
          <w:lang w:val="en-US" w:eastAsia="zh-CN"/>
        </w:rPr>
        <w:t>4.投标人法定代表人或其授权委托代理人须准时到场参加开标会议，携带本人身份证原件备查；未到场的，视为默认开标结果。</w:t>
      </w:r>
    </w:p>
    <w:p w14:paraId="27342E94">
      <w:pPr>
        <w:pStyle w:val="4"/>
      </w:pPr>
      <w:r>
        <w:t>六、联系方式</w:t>
      </w:r>
    </w:p>
    <w:p w14:paraId="0CD2A8F1">
      <w:pPr>
        <w:pStyle w:val="19"/>
        <w:rPr>
          <w:color w:val="auto"/>
        </w:rPr>
      </w:pPr>
      <w:r>
        <w:rPr>
          <w:color w:val="auto"/>
        </w:rPr>
        <w:t>招标人：</w:t>
      </w:r>
      <w:r>
        <w:rPr>
          <w:rFonts w:hint="eastAsia"/>
          <w:color w:val="auto"/>
          <w:lang w:eastAsia="zh-CN"/>
        </w:rPr>
        <w:t>舟山绿城</w:t>
      </w:r>
      <w:r>
        <w:rPr>
          <w:color w:val="auto"/>
        </w:rPr>
        <w:t>医院</w:t>
      </w:r>
    </w:p>
    <w:p w14:paraId="5FEEE87B">
      <w:pPr>
        <w:pStyle w:val="19"/>
        <w:rPr>
          <w:rFonts w:hint="eastAsia"/>
          <w:color w:val="auto"/>
        </w:rPr>
      </w:pPr>
      <w:r>
        <w:rPr>
          <w:color w:val="auto"/>
        </w:rPr>
        <w:t>地  址：</w:t>
      </w:r>
      <w:r>
        <w:rPr>
          <w:rFonts w:hint="eastAsia"/>
          <w:color w:val="auto"/>
          <w:lang w:val="en-US" w:eastAsia="zh-CN"/>
        </w:rPr>
        <w:t>浙江</w:t>
      </w:r>
      <w:r>
        <w:rPr>
          <w:color w:val="auto"/>
        </w:rPr>
        <w:t>省舟山市定海区临城街道学海路</w:t>
      </w:r>
      <w:r>
        <w:rPr>
          <w:rFonts w:hint="eastAsia"/>
          <w:color w:val="auto"/>
        </w:rPr>
        <w:t>16号</w:t>
      </w:r>
    </w:p>
    <w:p w14:paraId="634011D3">
      <w:pPr>
        <w:pStyle w:val="19"/>
        <w:rPr>
          <w:rFonts w:hint="eastAsia" w:eastAsia="等线"/>
          <w:color w:val="auto"/>
          <w:lang w:val="en-US" w:eastAsia="zh-CN"/>
        </w:rPr>
      </w:pPr>
      <w:r>
        <w:rPr>
          <w:color w:val="auto"/>
        </w:rPr>
        <w:t>联系人：</w:t>
      </w:r>
      <w:r>
        <w:rPr>
          <w:rFonts w:hint="eastAsia"/>
          <w:color w:val="auto"/>
          <w:lang w:val="en-US" w:eastAsia="zh-CN"/>
        </w:rPr>
        <w:t>董巧玲</w:t>
      </w:r>
    </w:p>
    <w:p w14:paraId="750B4783">
      <w:pPr>
        <w:pStyle w:val="19"/>
        <w:rPr>
          <w:rFonts w:hint="default" w:eastAsia="等线"/>
          <w:color w:val="auto"/>
          <w:lang w:val="en-US" w:eastAsia="zh-CN"/>
        </w:rPr>
      </w:pPr>
      <w:r>
        <w:rPr>
          <w:color w:val="auto"/>
        </w:rPr>
        <w:t>电  话：</w:t>
      </w:r>
      <w:r>
        <w:rPr>
          <w:rFonts w:hint="eastAsia"/>
          <w:color w:val="auto"/>
          <w:lang w:val="en-US" w:eastAsia="zh-CN"/>
        </w:rPr>
        <w:t>15268049118</w:t>
      </w:r>
    </w:p>
    <w:p w14:paraId="70396BE3">
      <w:pPr>
        <w:pStyle w:val="19"/>
        <w:rPr>
          <w:rFonts w:hint="eastAsia"/>
          <w:color w:val="auto"/>
          <w:lang w:val="en-US" w:eastAsia="zh-CN"/>
        </w:rPr>
      </w:pPr>
      <w:r>
        <w:t>邮  箱：</w:t>
      </w:r>
      <w:r>
        <w:rPr>
          <w:rFonts w:hint="eastAsia"/>
          <w:color w:val="auto"/>
          <w:lang w:val="en-US" w:eastAsia="zh-CN"/>
        </w:rPr>
        <w:t>lcyy0580 @126.com </w:t>
      </w:r>
    </w:p>
    <w:p w14:paraId="29EC330A">
      <w:pPr>
        <w:pStyle w:val="19"/>
        <w:rPr>
          <w:rFonts w:hint="eastAsia"/>
          <w:color w:val="FF0000"/>
          <w:lang w:val="en-US" w:eastAsia="zh-CN"/>
        </w:rPr>
      </w:pPr>
    </w:p>
    <w:p w14:paraId="3CFBB796">
      <w:pPr>
        <w:pStyle w:val="19"/>
        <w:rPr>
          <w:rFonts w:hint="eastAsia"/>
          <w:color w:val="FF0000"/>
          <w:lang w:val="en-US" w:eastAsia="zh-CN"/>
        </w:rPr>
      </w:pPr>
    </w:p>
    <w:p w14:paraId="738BBAA0">
      <w:pPr>
        <w:pStyle w:val="19"/>
        <w:rPr>
          <w:rFonts w:hint="eastAsia"/>
          <w:color w:val="FF0000"/>
          <w:lang w:val="en-US" w:eastAsia="zh-CN"/>
        </w:rPr>
      </w:pPr>
    </w:p>
    <w:p w14:paraId="686DB0F8">
      <w:pPr>
        <w:pStyle w:val="19"/>
        <w:rPr>
          <w:rFonts w:hint="eastAsia"/>
          <w:color w:val="FF0000"/>
          <w:lang w:val="en-US" w:eastAsia="zh-CN"/>
        </w:rPr>
      </w:pPr>
    </w:p>
    <w:p w14:paraId="6FF43C26">
      <w:pPr>
        <w:pStyle w:val="19"/>
        <w:rPr>
          <w:rFonts w:hint="eastAsia"/>
          <w:color w:val="FF0000"/>
          <w:lang w:val="en-US" w:eastAsia="zh-CN"/>
        </w:rPr>
      </w:pPr>
    </w:p>
    <w:p w14:paraId="55DD64EF">
      <w:pPr>
        <w:pStyle w:val="19"/>
        <w:rPr>
          <w:rFonts w:hint="eastAsia"/>
          <w:color w:val="FF0000"/>
          <w:lang w:val="en-US" w:eastAsia="zh-CN"/>
        </w:rPr>
      </w:pPr>
    </w:p>
    <w:p w14:paraId="7A06C40C">
      <w:pPr>
        <w:pStyle w:val="19"/>
        <w:rPr>
          <w:rFonts w:hint="eastAsia"/>
          <w:color w:val="FF0000"/>
          <w:lang w:val="en-US" w:eastAsia="zh-CN"/>
        </w:rPr>
      </w:pPr>
    </w:p>
    <w:p w14:paraId="5471E19C">
      <w:pPr>
        <w:pStyle w:val="19"/>
        <w:rPr>
          <w:rFonts w:hint="eastAsia"/>
          <w:color w:val="FF0000"/>
          <w:lang w:val="en-US" w:eastAsia="zh-CN"/>
        </w:rPr>
      </w:pPr>
    </w:p>
    <w:p w14:paraId="1026DFD3">
      <w:pPr>
        <w:pStyle w:val="19"/>
        <w:rPr>
          <w:rFonts w:hint="eastAsia"/>
          <w:color w:val="FF0000"/>
          <w:lang w:val="en-US" w:eastAsia="zh-CN"/>
        </w:rPr>
      </w:pPr>
    </w:p>
    <w:p w14:paraId="34B425E2">
      <w:pPr>
        <w:pStyle w:val="19"/>
        <w:rPr>
          <w:rFonts w:hint="eastAsia"/>
          <w:color w:val="FF0000"/>
          <w:lang w:val="en-US" w:eastAsia="zh-CN"/>
        </w:rPr>
      </w:pPr>
    </w:p>
    <w:p w14:paraId="4702EEBE">
      <w:pPr>
        <w:pBdr>
          <w:bottom w:val="single" w:color="auto" w:sz="6" w:space="1"/>
        </w:pBdr>
      </w:pPr>
    </w:p>
    <w:p w14:paraId="4D6A856D">
      <w:pPr>
        <w:pStyle w:val="3"/>
      </w:pPr>
      <w:r>
        <w:t>第二部分 投标人须知</w:t>
      </w:r>
    </w:p>
    <w:p w14:paraId="5D20B18D">
      <w:pPr>
        <w:pStyle w:val="4"/>
      </w:pPr>
      <w:r>
        <w:t>一、投标费用</w:t>
      </w:r>
    </w:p>
    <w:p w14:paraId="44AD4785">
      <w:pPr>
        <w:pStyle w:val="19"/>
      </w:pPr>
      <w:r>
        <w:t>投标人应自行承担编制投标文件、现场踏勘等投标全过程所产生的一切费用。无论投标结果如何，招标人不承担任何费用补偿责任。</w:t>
      </w:r>
    </w:p>
    <w:p w14:paraId="543953AB">
      <w:pPr>
        <w:pStyle w:val="4"/>
      </w:pPr>
      <w:r>
        <w:t>二、招标文件的澄清与修改</w:t>
      </w:r>
    </w:p>
    <w:p w14:paraId="7ABB2F83">
      <w:pPr>
        <w:pStyle w:val="19"/>
        <w:numPr>
          <w:ilvl w:val="0"/>
          <w:numId w:val="0"/>
        </w:numPr>
        <w:ind w:leftChars="0"/>
        <w:rPr>
          <w:color w:val="auto"/>
        </w:rPr>
      </w:pPr>
      <w:r>
        <w:rPr>
          <w:rFonts w:hint="eastAsia"/>
          <w:color w:val="auto"/>
          <w:lang w:val="en-US" w:eastAsia="zh-CN"/>
        </w:rPr>
        <w:t>1.</w:t>
      </w:r>
      <w:r>
        <w:rPr>
          <w:color w:val="auto"/>
        </w:rPr>
        <w:t>投标人应仔细阅读招标文件的全部内容，若对招标文件有疑问，须在投标截止日前【3】日以书面形式（含邮件）向招标人提出澄清申请，招标人将在投标截止日前【2】日以书面形式答复所有投标人（答复内容不涉及提问人的商业秘密）。</w:t>
      </w:r>
    </w:p>
    <w:p w14:paraId="13E63BD9">
      <w:pPr>
        <w:pStyle w:val="19"/>
        <w:numPr>
          <w:ilvl w:val="0"/>
          <w:numId w:val="0"/>
        </w:numPr>
        <w:ind w:leftChars="0"/>
      </w:pPr>
      <w:r>
        <w:rPr>
          <w:rFonts w:hint="eastAsia"/>
          <w:lang w:val="en-US" w:eastAsia="zh-CN"/>
        </w:rPr>
        <w:t>2.</w:t>
      </w:r>
      <w:r>
        <w:t>招标人可在投标截止日前对招标文件进行修改，修改内容将以书面形式通知所有已获取招标文件的投标人，修改内容与招标文件具有同等法律效力。</w:t>
      </w:r>
    </w:p>
    <w:p w14:paraId="29329474">
      <w:pPr>
        <w:pStyle w:val="19"/>
        <w:numPr>
          <w:ilvl w:val="0"/>
          <w:numId w:val="0"/>
        </w:numPr>
        <w:ind w:leftChars="0"/>
      </w:pPr>
      <w:r>
        <w:rPr>
          <w:rFonts w:hint="eastAsia"/>
          <w:lang w:val="en-US" w:eastAsia="zh-CN"/>
        </w:rPr>
        <w:t>3.</w:t>
      </w:r>
      <w:r>
        <w:t>当招标文件的澄清、修改内容相互矛盾或与原招标文件不一致时，以发出时间较晚的内容为准。</w:t>
      </w:r>
    </w:p>
    <w:p w14:paraId="775BFCE8">
      <w:pPr>
        <w:pStyle w:val="4"/>
      </w:pPr>
      <w:r>
        <w:t>三、投标文件的编制要求</w:t>
      </w:r>
    </w:p>
    <w:p w14:paraId="18DC2500">
      <w:pPr>
        <w:pStyle w:val="19"/>
        <w:numPr>
          <w:ilvl w:val="0"/>
          <w:numId w:val="0"/>
        </w:numPr>
        <w:ind w:leftChars="0"/>
      </w:pPr>
      <w:r>
        <w:rPr>
          <w:rFonts w:hint="eastAsia"/>
          <w:lang w:val="en-US" w:eastAsia="zh-CN"/>
        </w:rPr>
        <w:t>1.</w:t>
      </w:r>
      <w:r>
        <w:t>投标文件须按照本招标文件“第六部分 投标文件格式”编制，内容完整、字迹清晰、签字盖章齐全，不得涂改、增删，如需修改，须由法定代表人或授权代理人签字并加盖公章。</w:t>
      </w:r>
    </w:p>
    <w:p w14:paraId="25B5458F">
      <w:pPr>
        <w:pStyle w:val="19"/>
        <w:numPr>
          <w:ilvl w:val="0"/>
          <w:numId w:val="0"/>
        </w:numPr>
        <w:ind w:leftChars="0"/>
      </w:pPr>
      <w:r>
        <w:rPr>
          <w:rFonts w:hint="eastAsia"/>
          <w:lang w:val="en-US" w:eastAsia="zh-CN"/>
        </w:rPr>
        <w:t>2.</w:t>
      </w:r>
      <w:r>
        <w:t>投标文件有效期：自投标截止日起【90】个日历天，有效期内，投标人的投标承诺保持有效，不得擅自变更。</w:t>
      </w:r>
    </w:p>
    <w:p w14:paraId="5A061BD8">
      <w:pPr>
        <w:pStyle w:val="19"/>
        <w:numPr>
          <w:ilvl w:val="0"/>
          <w:numId w:val="0"/>
        </w:numPr>
        <w:ind w:leftChars="0"/>
      </w:pPr>
      <w:r>
        <w:rPr>
          <w:rFonts w:hint="eastAsia"/>
          <w:lang w:val="en-US" w:eastAsia="zh-CN"/>
        </w:rPr>
        <w:t>3.</w:t>
      </w:r>
      <w:r>
        <w:t>投标文件须包含但不限于以下内容：</w:t>
      </w:r>
    </w:p>
    <w:p w14:paraId="742216A4">
      <w:pPr>
        <w:pStyle w:val="19"/>
      </w:pPr>
      <w:r>
        <w:t>（1）投标函及投标函附录；</w:t>
      </w:r>
    </w:p>
    <w:p w14:paraId="451A5A3D">
      <w:pPr>
        <w:pStyle w:val="19"/>
        <w:rPr>
          <w:color w:val="auto"/>
        </w:rPr>
      </w:pPr>
      <w:r>
        <w:t>（2）法</w:t>
      </w:r>
      <w:r>
        <w:rPr>
          <w:color w:val="auto"/>
        </w:rPr>
        <w:t>定代表人身份证明及授权委托书；</w:t>
      </w:r>
    </w:p>
    <w:p w14:paraId="66BF772F">
      <w:pPr>
        <w:pStyle w:val="19"/>
        <w:rPr>
          <w:color w:val="auto"/>
        </w:rPr>
      </w:pPr>
      <w:r>
        <w:rPr>
          <w:color w:val="auto"/>
        </w:rPr>
        <w:t>（3）投标人资质证明文件（营业执照、</w:t>
      </w:r>
      <w:r>
        <w:rPr>
          <w:rFonts w:hint="eastAsia"/>
          <w:color w:val="auto"/>
          <w:lang w:val="en-US" w:eastAsia="zh-CN"/>
        </w:rPr>
        <w:t>医疗器械经营许可证</w:t>
      </w:r>
      <w:r>
        <w:rPr>
          <w:color w:val="auto"/>
        </w:rPr>
        <w:t>等）；</w:t>
      </w:r>
    </w:p>
    <w:p w14:paraId="2CA584B0">
      <w:pPr>
        <w:pStyle w:val="19"/>
      </w:pPr>
      <w:r>
        <w:t>（4）信用查询截图；</w:t>
      </w:r>
    </w:p>
    <w:p w14:paraId="4D652C7E">
      <w:pPr>
        <w:pStyle w:val="19"/>
      </w:pPr>
      <w:r>
        <w:t>（5）同类项目业绩证明材料；</w:t>
      </w:r>
    </w:p>
    <w:p w14:paraId="707E0E65">
      <w:pPr>
        <w:pStyle w:val="19"/>
      </w:pPr>
      <w:r>
        <w:t>（6）投标报价表；</w:t>
      </w:r>
    </w:p>
    <w:p w14:paraId="52B825FB">
      <w:pPr>
        <w:pStyle w:val="19"/>
      </w:pPr>
      <w:r>
        <w:t>（7）设备技术参数响应表；</w:t>
      </w:r>
    </w:p>
    <w:p w14:paraId="255E48D7">
      <w:pPr>
        <w:pStyle w:val="19"/>
      </w:pPr>
      <w:r>
        <w:t>（8）运营服务方案；</w:t>
      </w:r>
    </w:p>
    <w:p w14:paraId="1DD197C2">
      <w:pPr>
        <w:pStyle w:val="19"/>
      </w:pPr>
      <w:r>
        <w:t>（9）服务承诺函（含维保服务、应急处理等）；</w:t>
      </w:r>
    </w:p>
    <w:p w14:paraId="34D4CF7D">
      <w:pPr>
        <w:pStyle w:val="19"/>
      </w:pPr>
      <w:r>
        <w:t>（10）招标人要求提供的其他材料。</w:t>
      </w:r>
    </w:p>
    <w:p w14:paraId="3763C7CE">
      <w:pPr>
        <w:pStyle w:val="4"/>
      </w:pPr>
      <w:r>
        <w:t>四、报价要求</w:t>
      </w:r>
    </w:p>
    <w:p w14:paraId="10EA618E">
      <w:pPr>
        <w:pStyle w:val="19"/>
        <w:numPr>
          <w:ilvl w:val="0"/>
          <w:numId w:val="0"/>
        </w:numPr>
        <w:ind w:leftChars="0"/>
      </w:pPr>
      <w:r>
        <w:rPr>
          <w:rFonts w:hint="eastAsia"/>
          <w:lang w:val="en-US" w:eastAsia="zh-CN"/>
        </w:rPr>
        <w:t>1.</w:t>
      </w:r>
      <w:r>
        <w:t>本项目报价为</w:t>
      </w:r>
      <w:r>
        <w:rPr>
          <w:rFonts w:hint="eastAsia"/>
          <w:b/>
          <w:bCs/>
          <w:lang w:eastAsia="zh-CN"/>
        </w:rPr>
        <w:t>采取经营</w:t>
      </w:r>
      <w:r>
        <w:rPr>
          <w:rFonts w:hint="eastAsia"/>
          <w:b/>
          <w:bCs/>
          <w:lang w:val="en-US" w:eastAsia="zh-CN"/>
        </w:rPr>
        <w:t>营业额</w:t>
      </w:r>
      <w:r>
        <w:rPr>
          <w:rFonts w:hint="eastAsia"/>
          <w:b/>
          <w:bCs/>
          <w:lang w:eastAsia="zh-CN"/>
        </w:rPr>
        <w:t>分红比例报价形式</w:t>
      </w:r>
      <w:r>
        <w:t>，</w:t>
      </w:r>
      <w:r>
        <w:rPr>
          <w:rFonts w:hint="eastAsia"/>
          <w:lang w:eastAsia="zh-CN"/>
        </w:rPr>
        <w:t>投标人承担</w:t>
      </w:r>
      <w:r>
        <w:t>包含设备采购、安装调试、</w:t>
      </w:r>
      <w:r>
        <w:rPr>
          <w:rFonts w:hint="eastAsia"/>
          <w:lang w:val="en-US" w:eastAsia="zh-CN"/>
        </w:rPr>
        <w:t>信息维护、</w:t>
      </w:r>
      <w:r>
        <w:t>运维保养、商品采购、物流配送、人工成本、场地使用费、税费、电费、保险费等所有相关费用，招标人不另行支付任何费用。</w:t>
      </w:r>
    </w:p>
    <w:p w14:paraId="25A15A41">
      <w:pPr>
        <w:pStyle w:val="19"/>
        <w:numPr>
          <w:ilvl w:val="0"/>
          <w:numId w:val="0"/>
        </w:numPr>
        <w:ind w:leftChars="0"/>
        <w:rPr>
          <w:color w:val="auto"/>
        </w:rPr>
      </w:pPr>
      <w:r>
        <w:rPr>
          <w:rFonts w:hint="eastAsia"/>
          <w:color w:val="auto"/>
          <w:lang w:val="en-US" w:eastAsia="zh-CN"/>
        </w:rPr>
        <w:t>2.</w:t>
      </w:r>
      <w:r>
        <w:rPr>
          <w:color w:val="auto"/>
        </w:rPr>
        <w:t>投标人须按“投标报价表”格式报价，其中</w:t>
      </w:r>
      <w:r>
        <w:rPr>
          <w:b/>
          <w:bCs/>
          <w:color w:val="auto"/>
        </w:rPr>
        <w:t>场地使用费</w:t>
      </w:r>
      <w:r>
        <w:rPr>
          <w:color w:val="auto"/>
        </w:rPr>
        <w:t>按</w:t>
      </w:r>
      <w:r>
        <w:rPr>
          <w:rFonts w:hint="eastAsia"/>
          <w:color w:val="auto"/>
          <w:lang w:val="en-US" w:eastAsia="zh-CN"/>
        </w:rPr>
        <w:t>营业额的百分比</w:t>
      </w:r>
      <w:r>
        <w:rPr>
          <w:color w:val="auto"/>
        </w:rPr>
        <w:t>报价，报价不得低于招标人设定的底价</w:t>
      </w:r>
      <w:r>
        <w:rPr>
          <w:rFonts w:hint="eastAsia"/>
          <w:b/>
          <w:bCs/>
          <w:color w:val="auto"/>
          <w:lang w:eastAsia="zh-CN"/>
        </w:rPr>
        <w:t>经营</w:t>
      </w:r>
      <w:r>
        <w:rPr>
          <w:rFonts w:hint="eastAsia"/>
          <w:b/>
          <w:bCs/>
          <w:color w:val="auto"/>
          <w:lang w:val="en-US" w:eastAsia="zh-CN"/>
        </w:rPr>
        <w:t>营业额4%</w:t>
      </w:r>
      <w:r>
        <w:rPr>
          <w:color w:val="auto"/>
        </w:rPr>
        <w:t>/年，低于底价的报价按废标处理。</w:t>
      </w:r>
    </w:p>
    <w:p w14:paraId="331669B3">
      <w:pPr>
        <w:pStyle w:val="19"/>
        <w:numPr>
          <w:ilvl w:val="0"/>
          <w:numId w:val="0"/>
        </w:numPr>
        <w:ind w:leftChars="0"/>
      </w:pPr>
      <w:r>
        <w:rPr>
          <w:rFonts w:hint="eastAsia"/>
          <w:lang w:val="en-US" w:eastAsia="zh-CN"/>
        </w:rPr>
        <w:t>3.</w:t>
      </w:r>
      <w:r>
        <w:t>自动</w:t>
      </w:r>
      <w:r>
        <w:rPr>
          <w:rFonts w:hint="eastAsia"/>
          <w:lang w:val="en-US" w:eastAsia="zh-CN"/>
        </w:rPr>
        <w:t>售货</w:t>
      </w:r>
      <w:r>
        <w:t>机内商品售价须</w:t>
      </w:r>
      <w:r>
        <w:rPr>
          <w:b/>
          <w:bCs/>
        </w:rPr>
        <w:t>不高于本地</w:t>
      </w:r>
      <w:r>
        <w:rPr>
          <w:rFonts w:hint="eastAsia"/>
          <w:b/>
          <w:bCs/>
          <w:lang w:val="en-US" w:eastAsia="zh-CN"/>
        </w:rPr>
        <w:t>其他医院</w:t>
      </w:r>
      <w:r>
        <w:rPr>
          <w:b/>
          <w:bCs/>
        </w:rPr>
        <w:t>同期零售价</w:t>
      </w:r>
      <w:r>
        <w:t>，并接受院方及患者监督，投标人须在投标文件中作出书面承诺。</w:t>
      </w:r>
    </w:p>
    <w:p w14:paraId="44163DCF">
      <w:pPr>
        <w:pStyle w:val="4"/>
      </w:pPr>
      <w:r>
        <w:t>五、评标原则与方法</w:t>
      </w:r>
    </w:p>
    <w:p w14:paraId="4941BCE3">
      <w:pPr>
        <w:pStyle w:val="19"/>
        <w:numPr>
          <w:ilvl w:val="0"/>
          <w:numId w:val="0"/>
        </w:numPr>
        <w:ind w:leftChars="0"/>
        <w:rPr>
          <w:color w:val="FF0000"/>
        </w:rPr>
      </w:pPr>
      <w:r>
        <w:rPr>
          <w:rFonts w:hint="eastAsia"/>
          <w:lang w:val="en-US" w:eastAsia="zh-CN"/>
        </w:rPr>
        <w:t>1.</w:t>
      </w:r>
      <w:r>
        <w:t>评标工作由招标人组建的</w:t>
      </w:r>
      <w:r>
        <w:rPr>
          <w:color w:val="auto"/>
        </w:rPr>
        <w:t>评标小组负责，评标小组由医院后勤、财务、纪检、临床代表等人员组成，评标过程严格遵循“公平、公正、科学、择优”的原则。</w:t>
      </w:r>
    </w:p>
    <w:p w14:paraId="001A79E2">
      <w:pPr>
        <w:pStyle w:val="19"/>
        <w:numPr>
          <w:ilvl w:val="0"/>
          <w:numId w:val="0"/>
        </w:numPr>
        <w:ind w:leftChars="0"/>
      </w:pPr>
      <w:r>
        <w:rPr>
          <w:rFonts w:hint="eastAsia"/>
          <w:lang w:val="en-US" w:eastAsia="zh-CN"/>
        </w:rPr>
        <w:t>2.</w:t>
      </w:r>
      <w:r>
        <w:t>本项目采用</w:t>
      </w:r>
      <w:r>
        <w:rPr>
          <w:b/>
          <w:bCs/>
        </w:rPr>
        <w:t>综合评分法</w:t>
      </w:r>
      <w:r>
        <w:t>（总分100分），评标小组根据投标人的商务部分、技术部分、报价部分、服务承诺部分进行综合评分，得分最高者为中标候选人（若得分相同，优先选择报价较高、业绩更优的投标人）。</w:t>
      </w:r>
    </w:p>
    <w:p w14:paraId="7D44C93A">
      <w:pPr>
        <w:pStyle w:val="19"/>
        <w:numPr>
          <w:ilvl w:val="0"/>
          <w:numId w:val="0"/>
        </w:numPr>
        <w:ind w:leftChars="0"/>
      </w:pPr>
      <w:r>
        <w:rPr>
          <w:rFonts w:hint="eastAsia"/>
          <w:lang w:val="en-US" w:eastAsia="zh-CN"/>
        </w:rPr>
        <w:t>3.</w:t>
      </w:r>
      <w:r>
        <w:t>招标人不保证最低报价中标，评标小组有权对不符合招标文件要求的投标文件按废标处理。</w:t>
      </w:r>
    </w:p>
    <w:p w14:paraId="72FFC4D0">
      <w:pPr>
        <w:pStyle w:val="4"/>
      </w:pPr>
      <w:r>
        <w:t>六、合同签订与履约保证金</w:t>
      </w:r>
    </w:p>
    <w:p w14:paraId="593BE39D">
      <w:pPr>
        <w:pStyle w:val="19"/>
        <w:numPr>
          <w:ilvl w:val="0"/>
          <w:numId w:val="0"/>
        </w:numPr>
        <w:ind w:leftChars="0"/>
      </w:pPr>
      <w:r>
        <w:rPr>
          <w:rFonts w:hint="eastAsia"/>
          <w:lang w:val="en-US" w:eastAsia="zh-CN"/>
        </w:rPr>
        <w:t>1.</w:t>
      </w:r>
      <w:r>
        <w:t>中标人将在开标结束后【3】日内收到招标人发出的《中标通知书》，《中标通知书》是合同的组成部分。</w:t>
      </w:r>
    </w:p>
    <w:p w14:paraId="7962866A">
      <w:pPr>
        <w:pStyle w:val="19"/>
        <w:numPr>
          <w:ilvl w:val="0"/>
          <w:numId w:val="0"/>
        </w:numPr>
        <w:ind w:leftChars="0"/>
      </w:pPr>
      <w:r>
        <w:rPr>
          <w:rFonts w:hint="eastAsia"/>
          <w:lang w:val="en-US" w:eastAsia="zh-CN"/>
        </w:rPr>
        <w:t>2.</w:t>
      </w:r>
      <w:r>
        <w:t>中标人须在收到《中标通知书》后【15】日内，与招标人签订《医院自动</w:t>
      </w:r>
      <w:r>
        <w:rPr>
          <w:rFonts w:hint="eastAsia"/>
          <w:lang w:val="en-US" w:eastAsia="zh-CN"/>
        </w:rPr>
        <w:t>售货</w:t>
      </w:r>
      <w:r>
        <w:t>机经营服务合同》，逾期未签订的，视为自动放弃中标资格</w:t>
      </w:r>
      <w:r>
        <w:rPr>
          <w:rFonts w:hint="eastAsia"/>
          <w:lang w:eastAsia="zh-CN"/>
        </w:rPr>
        <w:t>。</w:t>
      </w:r>
    </w:p>
    <w:p w14:paraId="78EA0B58">
      <w:pPr>
        <w:pStyle w:val="19"/>
        <w:numPr>
          <w:ilvl w:val="0"/>
          <w:numId w:val="0"/>
        </w:numPr>
        <w:ind w:leftChars="0"/>
      </w:pPr>
      <w:r>
        <w:rPr>
          <w:rFonts w:hint="eastAsia"/>
          <w:lang w:val="en-US" w:eastAsia="zh-CN"/>
        </w:rPr>
        <w:t>3.</w:t>
      </w:r>
      <w:r>
        <w:t>合同签订前，中标人须向招标人缴纳</w:t>
      </w:r>
      <w:r>
        <w:rPr>
          <w:b/>
          <w:bCs/>
        </w:rPr>
        <w:t>履约保证金</w:t>
      </w:r>
      <w:r>
        <w:t>【</w:t>
      </w:r>
      <w:r>
        <w:rPr>
          <w:rFonts w:hint="eastAsia"/>
          <w:lang w:val="en-US" w:eastAsia="zh-CN"/>
        </w:rPr>
        <w:t>1</w:t>
      </w:r>
      <w:r>
        <w:t>】万元，履约保证金在服务期限届满、双方结清所有费用且无违约行为后，由招标人全额无息退还。</w:t>
      </w:r>
    </w:p>
    <w:p w14:paraId="1278EDB9">
      <w:pPr>
        <w:pStyle w:val="4"/>
      </w:pPr>
      <w:r>
        <w:t>七、投标保证金</w:t>
      </w:r>
    </w:p>
    <w:p w14:paraId="57F4D86C">
      <w:pPr>
        <w:pBdr>
          <w:bottom w:val="single" w:color="auto" w:sz="6" w:space="1"/>
        </w:pBdr>
        <w:rPr>
          <w:rFonts w:hint="eastAsia"/>
          <w:lang w:val="en-US" w:eastAsia="zh-CN"/>
        </w:rPr>
      </w:pPr>
      <w:r>
        <w:rPr>
          <w:rFonts w:hint="eastAsia"/>
          <w:lang w:val="en-US" w:eastAsia="zh-CN"/>
        </w:rPr>
        <w:t>无需缴纳投标保证金。</w:t>
      </w:r>
    </w:p>
    <w:p w14:paraId="02F6BD21">
      <w:pPr>
        <w:pBdr>
          <w:bottom w:val="single" w:color="auto" w:sz="6" w:space="1"/>
        </w:pBdr>
        <w:rPr>
          <w:rFonts w:hint="eastAsia"/>
          <w:lang w:val="en-US" w:eastAsia="zh-CN"/>
        </w:rPr>
      </w:pPr>
    </w:p>
    <w:p w14:paraId="2646DBC0">
      <w:pPr>
        <w:pBdr>
          <w:bottom w:val="single" w:color="auto" w:sz="6" w:space="1"/>
        </w:pBdr>
        <w:rPr>
          <w:rFonts w:hint="eastAsia"/>
          <w:lang w:val="en-US" w:eastAsia="zh-CN"/>
        </w:rPr>
      </w:pPr>
    </w:p>
    <w:p w14:paraId="6563BC22">
      <w:pPr>
        <w:pBdr>
          <w:bottom w:val="single" w:color="auto" w:sz="6" w:space="1"/>
        </w:pBdr>
        <w:rPr>
          <w:rFonts w:hint="eastAsia"/>
          <w:lang w:val="en-US" w:eastAsia="zh-CN"/>
        </w:rPr>
      </w:pPr>
    </w:p>
    <w:p w14:paraId="2BA26CE1">
      <w:pPr>
        <w:pBdr>
          <w:bottom w:val="single" w:color="auto" w:sz="6" w:space="1"/>
        </w:pBdr>
        <w:rPr>
          <w:rFonts w:hint="eastAsia"/>
          <w:lang w:val="en-US" w:eastAsia="zh-CN"/>
        </w:rPr>
      </w:pPr>
    </w:p>
    <w:p w14:paraId="19DA1700">
      <w:pPr>
        <w:pBdr>
          <w:bottom w:val="single" w:color="auto" w:sz="6" w:space="1"/>
        </w:pBdr>
        <w:rPr>
          <w:rFonts w:hint="eastAsia"/>
          <w:lang w:val="en-US" w:eastAsia="zh-CN"/>
        </w:rPr>
      </w:pPr>
    </w:p>
    <w:p w14:paraId="75A9B6BA">
      <w:pPr>
        <w:pBdr>
          <w:bottom w:val="single" w:color="auto" w:sz="6" w:space="1"/>
        </w:pBdr>
        <w:rPr>
          <w:rFonts w:hint="eastAsia"/>
          <w:lang w:val="en-US" w:eastAsia="zh-CN"/>
        </w:rPr>
      </w:pPr>
    </w:p>
    <w:p w14:paraId="25B0ACFA">
      <w:pPr>
        <w:pBdr>
          <w:bottom w:val="single" w:color="auto" w:sz="6" w:space="1"/>
        </w:pBdr>
        <w:rPr>
          <w:rFonts w:hint="eastAsia"/>
          <w:lang w:val="en-US" w:eastAsia="zh-CN"/>
        </w:rPr>
      </w:pPr>
    </w:p>
    <w:p w14:paraId="31C4A059">
      <w:pPr>
        <w:pBdr>
          <w:bottom w:val="single" w:color="auto" w:sz="6" w:space="1"/>
        </w:pBdr>
        <w:rPr>
          <w:rFonts w:hint="eastAsia"/>
          <w:lang w:val="en-US" w:eastAsia="zh-CN"/>
        </w:rPr>
      </w:pPr>
    </w:p>
    <w:p w14:paraId="5EB41BEE">
      <w:pPr>
        <w:pBdr>
          <w:bottom w:val="single" w:color="auto" w:sz="6" w:space="1"/>
        </w:pBdr>
        <w:rPr>
          <w:rFonts w:hint="eastAsia"/>
          <w:lang w:val="en-US" w:eastAsia="zh-CN"/>
        </w:rPr>
      </w:pPr>
    </w:p>
    <w:p w14:paraId="5DC7C92B">
      <w:pPr>
        <w:pBdr>
          <w:bottom w:val="single" w:color="auto" w:sz="6" w:space="1"/>
        </w:pBdr>
        <w:rPr>
          <w:rFonts w:hint="eastAsia"/>
          <w:lang w:val="en-US" w:eastAsia="zh-CN"/>
        </w:rPr>
      </w:pPr>
    </w:p>
    <w:p w14:paraId="098D135A">
      <w:pPr>
        <w:pBdr>
          <w:bottom w:val="single" w:color="auto" w:sz="6" w:space="1"/>
        </w:pBdr>
        <w:rPr>
          <w:rFonts w:hint="eastAsia"/>
          <w:lang w:val="en-US" w:eastAsia="zh-CN"/>
        </w:rPr>
      </w:pPr>
    </w:p>
    <w:p w14:paraId="54E1AB1C">
      <w:pPr>
        <w:pBdr>
          <w:bottom w:val="single" w:color="auto" w:sz="6" w:space="1"/>
        </w:pBdr>
        <w:rPr>
          <w:rFonts w:hint="eastAsia"/>
          <w:lang w:val="en-US" w:eastAsia="zh-CN"/>
        </w:rPr>
      </w:pPr>
    </w:p>
    <w:p w14:paraId="02DA7C3C">
      <w:pPr>
        <w:pStyle w:val="3"/>
      </w:pPr>
      <w:r>
        <w:t>第三部分 项目需求与服务要求</w:t>
      </w:r>
    </w:p>
    <w:p w14:paraId="060799BE">
      <w:pPr>
        <w:pStyle w:val="4"/>
      </w:pPr>
      <w:r>
        <w:t>一、设备技术要求</w:t>
      </w:r>
    </w:p>
    <w:p w14:paraId="42C9111F">
      <w:pPr>
        <w:pStyle w:val="19"/>
        <w:numPr>
          <w:ilvl w:val="0"/>
          <w:numId w:val="0"/>
        </w:numPr>
        <w:ind w:leftChars="0"/>
      </w:pPr>
      <w:r>
        <w:rPr>
          <w:rFonts w:hint="eastAsia"/>
          <w:lang w:val="en-US" w:eastAsia="zh-CN"/>
        </w:rPr>
        <w:t>1.</w:t>
      </w:r>
      <w:r>
        <w:t>设备类型：智能商用自动</w:t>
      </w:r>
      <w:r>
        <w:rPr>
          <w:rFonts w:hint="eastAsia"/>
          <w:lang w:val="en-US" w:eastAsia="zh-CN"/>
        </w:rPr>
        <w:t>售货</w:t>
      </w:r>
      <w:r>
        <w:t>机，外观设计简洁大方，适配医院诊疗环境，机身无低俗广告。</w:t>
      </w:r>
    </w:p>
    <w:p w14:paraId="246664D5">
      <w:pPr>
        <w:pStyle w:val="19"/>
        <w:numPr>
          <w:ilvl w:val="0"/>
          <w:numId w:val="0"/>
        </w:numPr>
        <w:ind w:leftChars="0"/>
      </w:pPr>
      <w:r>
        <w:rPr>
          <w:rFonts w:hint="eastAsia"/>
          <w:lang w:val="en-US" w:eastAsia="zh-CN"/>
        </w:rPr>
        <w:t>2.</w:t>
      </w:r>
      <w:r>
        <w:t>核心技术参数：</w:t>
      </w:r>
    </w:p>
    <w:tbl>
      <w:tblPr>
        <w:tblStyle w:val="10"/>
        <w:tblW w:w="4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174"/>
        <w:gridCol w:w="5064"/>
      </w:tblGrid>
      <w:tr w14:paraId="45B3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750B3947">
            <w:pPr>
              <w:rPr>
                <w:rFonts w:hint="eastAsia"/>
              </w:rPr>
            </w:pPr>
            <w:bookmarkStart w:id="0" w:name="_Hlk164369648"/>
            <w:r>
              <w:rPr>
                <w:rFonts w:hint="eastAsia"/>
              </w:rPr>
              <w:t>1、</w:t>
            </w:r>
          </w:p>
        </w:tc>
        <w:tc>
          <w:tcPr>
            <w:tcW w:w="1365" w:type="pct"/>
            <w:vMerge w:val="restart"/>
            <w:tcBorders>
              <w:tl2br w:val="nil"/>
              <w:tr2bl w:val="nil"/>
            </w:tcBorders>
            <w:shd w:val="clear" w:color="auto" w:fill="auto"/>
            <w:vAlign w:val="center"/>
          </w:tcPr>
          <w:p w14:paraId="4AA14271">
            <w:pPr>
              <w:rPr>
                <w:rFonts w:hint="eastAsia"/>
              </w:rPr>
            </w:pPr>
            <w:r>
              <w:rPr>
                <w:rFonts w:hint="eastAsia"/>
              </w:rPr>
              <w:t>外形尺寸</w:t>
            </w:r>
          </w:p>
        </w:tc>
        <w:tc>
          <w:tcPr>
            <w:tcW w:w="4670" w:type="dxa"/>
            <w:tcBorders>
              <w:tl2br w:val="nil"/>
              <w:tr2bl w:val="nil"/>
            </w:tcBorders>
            <w:shd w:val="clear" w:color="auto" w:fill="auto"/>
            <w:vAlign w:val="center"/>
          </w:tcPr>
          <w:p w14:paraId="277EC763">
            <w:pPr>
              <w:rPr>
                <w:rFonts w:hint="default" w:eastAsia="宋体"/>
                <w:lang w:val="en-US" w:eastAsia="zh-CN"/>
              </w:rPr>
            </w:pPr>
            <w:r>
              <w:rPr>
                <w:rFonts w:hint="eastAsia"/>
              </w:rPr>
              <w:t>格子机 ：长≤1470mm，厚≤42</w:t>
            </w:r>
            <w:r>
              <w:rPr>
                <w:rFonts w:hint="eastAsia"/>
                <w:lang w:val="en-US" w:eastAsia="zh-CN"/>
              </w:rPr>
              <w:t>1</w:t>
            </w:r>
            <w:r>
              <w:rPr>
                <w:rFonts w:hint="eastAsia"/>
              </w:rPr>
              <w:t>mm，高≤1920mm</w:t>
            </w:r>
          </w:p>
        </w:tc>
      </w:tr>
      <w:tr w14:paraId="57C5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22DAB755">
            <w:pPr>
              <w:rPr>
                <w:rFonts w:hint="eastAsia"/>
              </w:rPr>
            </w:pPr>
            <w:r>
              <w:rPr>
                <w:rFonts w:hint="eastAsia"/>
              </w:rPr>
              <w:t>2、</w:t>
            </w:r>
          </w:p>
        </w:tc>
        <w:tc>
          <w:tcPr>
            <w:tcW w:w="1365" w:type="pct"/>
            <w:vMerge w:val="continue"/>
            <w:tcBorders>
              <w:tl2br w:val="nil"/>
              <w:tr2bl w:val="nil"/>
            </w:tcBorders>
            <w:vAlign w:val="center"/>
          </w:tcPr>
          <w:p w14:paraId="3BB7F638">
            <w:pPr>
              <w:rPr>
                <w:rFonts w:hint="eastAsia"/>
              </w:rPr>
            </w:pPr>
          </w:p>
        </w:tc>
        <w:tc>
          <w:tcPr>
            <w:tcW w:w="4670" w:type="dxa"/>
            <w:tcBorders>
              <w:tl2br w:val="nil"/>
              <w:tr2bl w:val="nil"/>
            </w:tcBorders>
            <w:shd w:val="clear" w:color="auto" w:fill="auto"/>
            <w:vAlign w:val="center"/>
          </w:tcPr>
          <w:p w14:paraId="1B6DA0FB">
            <w:pPr>
              <w:rPr>
                <w:rFonts w:hint="eastAsia"/>
              </w:rPr>
            </w:pPr>
            <w:r>
              <w:rPr>
                <w:rFonts w:hint="eastAsia"/>
              </w:rPr>
              <w:t>推杆机：长≤1400mm，厚≤900mm，高≤1950mm</w:t>
            </w:r>
          </w:p>
        </w:tc>
      </w:tr>
      <w:tr w14:paraId="710A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4EDE59C7">
            <w:pPr>
              <w:rPr>
                <w:rFonts w:hint="eastAsia"/>
              </w:rPr>
            </w:pPr>
            <w:r>
              <w:rPr>
                <w:rFonts w:hint="eastAsia"/>
              </w:rPr>
              <w:t>3、</w:t>
            </w:r>
          </w:p>
        </w:tc>
        <w:tc>
          <w:tcPr>
            <w:tcW w:w="1365" w:type="pct"/>
            <w:vMerge w:val="restart"/>
            <w:tcBorders>
              <w:tl2br w:val="nil"/>
              <w:tr2bl w:val="nil"/>
            </w:tcBorders>
            <w:shd w:val="clear" w:color="auto" w:fill="auto"/>
            <w:vAlign w:val="center"/>
          </w:tcPr>
          <w:p w14:paraId="43270D7F">
            <w:pPr>
              <w:rPr>
                <w:rFonts w:hint="eastAsia"/>
              </w:rPr>
            </w:pPr>
            <w:r>
              <w:rPr>
                <w:rFonts w:hint="eastAsia"/>
              </w:rPr>
              <w:t>单台设备占地面积</w:t>
            </w:r>
          </w:p>
        </w:tc>
        <w:tc>
          <w:tcPr>
            <w:tcW w:w="4670" w:type="dxa"/>
            <w:tcBorders>
              <w:tl2br w:val="nil"/>
              <w:tr2bl w:val="nil"/>
            </w:tcBorders>
            <w:shd w:val="clear" w:color="auto" w:fill="auto"/>
            <w:vAlign w:val="center"/>
          </w:tcPr>
          <w:p w14:paraId="4C3D91AF">
            <w:pPr>
              <w:rPr>
                <w:rFonts w:hint="eastAsia" w:eastAsia="宋体"/>
                <w:lang w:val="en-US" w:eastAsia="zh-CN"/>
              </w:rPr>
            </w:pPr>
            <w:r>
              <w:rPr>
                <w:rFonts w:hint="eastAsia"/>
              </w:rPr>
              <w:t>格子机 ：≤0.62平方米</w:t>
            </w:r>
          </w:p>
        </w:tc>
      </w:tr>
      <w:tr w14:paraId="5CDE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460882B8">
            <w:pPr>
              <w:rPr>
                <w:rFonts w:hint="eastAsia"/>
              </w:rPr>
            </w:pPr>
            <w:r>
              <w:rPr>
                <w:rFonts w:hint="eastAsia"/>
              </w:rPr>
              <w:t>4、</w:t>
            </w:r>
          </w:p>
        </w:tc>
        <w:tc>
          <w:tcPr>
            <w:tcW w:w="1365" w:type="pct"/>
            <w:vMerge w:val="continue"/>
            <w:tcBorders>
              <w:tl2br w:val="nil"/>
              <w:tr2bl w:val="nil"/>
            </w:tcBorders>
            <w:vAlign w:val="center"/>
          </w:tcPr>
          <w:p w14:paraId="4F8BB96A">
            <w:pPr>
              <w:rPr>
                <w:rFonts w:hint="eastAsia"/>
              </w:rPr>
            </w:pPr>
          </w:p>
        </w:tc>
        <w:tc>
          <w:tcPr>
            <w:tcW w:w="4670" w:type="dxa"/>
            <w:tcBorders>
              <w:tl2br w:val="nil"/>
              <w:tr2bl w:val="nil"/>
            </w:tcBorders>
            <w:shd w:val="clear" w:color="auto" w:fill="auto"/>
            <w:vAlign w:val="center"/>
          </w:tcPr>
          <w:p w14:paraId="3E54F8EA">
            <w:pPr>
              <w:rPr>
                <w:rFonts w:hint="eastAsia"/>
              </w:rPr>
            </w:pPr>
            <w:r>
              <w:rPr>
                <w:rFonts w:hint="eastAsia"/>
              </w:rPr>
              <w:t>推杆机：≤1.26平方米</w:t>
            </w:r>
          </w:p>
        </w:tc>
      </w:tr>
      <w:tr w14:paraId="2713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4CE387B6">
            <w:pPr>
              <w:rPr>
                <w:rFonts w:hint="eastAsia"/>
              </w:rPr>
            </w:pPr>
            <w:r>
              <w:rPr>
                <w:rFonts w:hint="eastAsia"/>
              </w:rPr>
              <w:t>5、</w:t>
            </w:r>
          </w:p>
        </w:tc>
        <w:tc>
          <w:tcPr>
            <w:tcW w:w="1365" w:type="pct"/>
            <w:tcBorders>
              <w:tl2br w:val="nil"/>
              <w:tr2bl w:val="nil"/>
            </w:tcBorders>
            <w:shd w:val="clear" w:color="auto" w:fill="auto"/>
            <w:vAlign w:val="center"/>
          </w:tcPr>
          <w:p w14:paraId="4FDA1ED1">
            <w:pPr>
              <w:rPr>
                <w:rFonts w:hint="eastAsia"/>
              </w:rPr>
            </w:pPr>
            <w:r>
              <w:rPr>
                <w:rFonts w:hint="eastAsia"/>
              </w:rPr>
              <w:t>额定功率</w:t>
            </w:r>
          </w:p>
        </w:tc>
        <w:tc>
          <w:tcPr>
            <w:tcW w:w="3179" w:type="pct"/>
            <w:tcBorders>
              <w:tl2br w:val="nil"/>
              <w:tr2bl w:val="nil"/>
            </w:tcBorders>
            <w:shd w:val="clear" w:color="auto" w:fill="auto"/>
            <w:vAlign w:val="center"/>
          </w:tcPr>
          <w:p w14:paraId="7DDD1FA0">
            <w:pPr>
              <w:rPr>
                <w:rFonts w:hint="eastAsia"/>
              </w:rPr>
            </w:pPr>
            <w:r>
              <w:rPr>
                <w:rFonts w:hint="eastAsia"/>
              </w:rPr>
              <w:t>≤100W</w:t>
            </w:r>
          </w:p>
        </w:tc>
      </w:tr>
      <w:tr w14:paraId="687C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24A3B99D">
            <w:pPr>
              <w:rPr>
                <w:rFonts w:hint="eastAsia"/>
              </w:rPr>
            </w:pPr>
            <w:r>
              <w:rPr>
                <w:rFonts w:hint="eastAsia"/>
              </w:rPr>
              <w:t>6、</w:t>
            </w:r>
          </w:p>
        </w:tc>
        <w:tc>
          <w:tcPr>
            <w:tcW w:w="1365" w:type="pct"/>
            <w:tcBorders>
              <w:tl2br w:val="nil"/>
              <w:tr2bl w:val="nil"/>
            </w:tcBorders>
            <w:shd w:val="clear" w:color="auto" w:fill="auto"/>
            <w:vAlign w:val="center"/>
          </w:tcPr>
          <w:p w14:paraId="381489D0">
            <w:pPr>
              <w:rPr>
                <w:rFonts w:hint="eastAsia"/>
              </w:rPr>
            </w:pPr>
            <w:r>
              <w:rPr>
                <w:rFonts w:hint="eastAsia"/>
              </w:rPr>
              <w:t>网络接入</w:t>
            </w:r>
          </w:p>
        </w:tc>
        <w:tc>
          <w:tcPr>
            <w:tcW w:w="3179" w:type="pct"/>
            <w:tcBorders>
              <w:tl2br w:val="nil"/>
              <w:tr2bl w:val="nil"/>
            </w:tcBorders>
            <w:shd w:val="clear" w:color="auto" w:fill="auto"/>
            <w:vAlign w:val="center"/>
          </w:tcPr>
          <w:p w14:paraId="06F7B8DF">
            <w:pPr>
              <w:rPr>
                <w:rFonts w:hint="eastAsia"/>
              </w:rPr>
            </w:pPr>
            <w:r>
              <w:rPr>
                <w:rFonts w:hint="eastAsia"/>
              </w:rPr>
              <w:t>支持4G物联卡</w:t>
            </w:r>
          </w:p>
        </w:tc>
      </w:tr>
      <w:tr w14:paraId="54F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784CB854">
            <w:pPr>
              <w:rPr>
                <w:rFonts w:hint="eastAsia"/>
              </w:rPr>
            </w:pPr>
            <w:r>
              <w:rPr>
                <w:rFonts w:hint="eastAsia"/>
              </w:rPr>
              <w:t>7、</w:t>
            </w:r>
          </w:p>
        </w:tc>
        <w:tc>
          <w:tcPr>
            <w:tcW w:w="1365" w:type="pct"/>
            <w:tcBorders>
              <w:tl2br w:val="nil"/>
              <w:tr2bl w:val="nil"/>
            </w:tcBorders>
            <w:shd w:val="clear" w:color="auto" w:fill="auto"/>
            <w:vAlign w:val="center"/>
          </w:tcPr>
          <w:p w14:paraId="3248582A">
            <w:pPr>
              <w:rPr>
                <w:rFonts w:hint="eastAsia"/>
              </w:rPr>
            </w:pPr>
            <w:r>
              <w:rPr>
                <w:rFonts w:hint="eastAsia"/>
              </w:rPr>
              <w:t>操控屏幕</w:t>
            </w:r>
          </w:p>
        </w:tc>
        <w:tc>
          <w:tcPr>
            <w:tcW w:w="3179" w:type="pct"/>
            <w:tcBorders>
              <w:tl2br w:val="nil"/>
              <w:tr2bl w:val="nil"/>
            </w:tcBorders>
            <w:shd w:val="clear" w:color="auto" w:fill="auto"/>
            <w:vAlign w:val="center"/>
          </w:tcPr>
          <w:p w14:paraId="1C6B2198">
            <w:pPr>
              <w:rPr>
                <w:rFonts w:hint="eastAsia"/>
              </w:rPr>
            </w:pPr>
            <w:r>
              <w:rPr>
                <w:rFonts w:hint="eastAsia"/>
              </w:rPr>
              <w:t>≥10寸</w:t>
            </w:r>
          </w:p>
        </w:tc>
      </w:tr>
      <w:tr w14:paraId="6DD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4591ABF1">
            <w:pPr>
              <w:rPr>
                <w:rFonts w:hint="eastAsia"/>
              </w:rPr>
            </w:pPr>
            <w:r>
              <w:rPr>
                <w:rFonts w:hint="eastAsia"/>
              </w:rPr>
              <w:t>8、</w:t>
            </w:r>
          </w:p>
        </w:tc>
        <w:tc>
          <w:tcPr>
            <w:tcW w:w="1365" w:type="pct"/>
            <w:tcBorders>
              <w:tl2br w:val="nil"/>
              <w:tr2bl w:val="nil"/>
            </w:tcBorders>
            <w:shd w:val="clear" w:color="auto" w:fill="auto"/>
            <w:vAlign w:val="center"/>
          </w:tcPr>
          <w:p w14:paraId="007E2142">
            <w:pPr>
              <w:rPr>
                <w:rFonts w:hint="eastAsia"/>
              </w:rPr>
            </w:pPr>
            <w:r>
              <w:rPr>
                <w:rFonts w:hint="eastAsia"/>
              </w:rPr>
              <w:t>操作系统</w:t>
            </w:r>
          </w:p>
        </w:tc>
        <w:tc>
          <w:tcPr>
            <w:tcW w:w="3179" w:type="pct"/>
            <w:tcBorders>
              <w:tl2br w:val="nil"/>
              <w:tr2bl w:val="nil"/>
            </w:tcBorders>
            <w:shd w:val="clear" w:color="auto" w:fill="auto"/>
            <w:vAlign w:val="center"/>
          </w:tcPr>
          <w:p w14:paraId="01CE9940">
            <w:pPr>
              <w:rPr>
                <w:rFonts w:hint="eastAsia"/>
              </w:rPr>
            </w:pPr>
            <w:r>
              <w:rPr>
                <w:rFonts w:hint="eastAsia"/>
              </w:rPr>
              <w:t>安卓</w:t>
            </w:r>
          </w:p>
        </w:tc>
      </w:tr>
      <w:tr w14:paraId="65FD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5CC74474">
            <w:pPr>
              <w:rPr>
                <w:rFonts w:hint="eastAsia"/>
              </w:rPr>
            </w:pPr>
            <w:r>
              <w:rPr>
                <w:rFonts w:hint="eastAsia"/>
              </w:rPr>
              <w:t>9、</w:t>
            </w:r>
          </w:p>
        </w:tc>
        <w:tc>
          <w:tcPr>
            <w:tcW w:w="1365" w:type="pct"/>
            <w:tcBorders>
              <w:tl2br w:val="nil"/>
              <w:tr2bl w:val="nil"/>
            </w:tcBorders>
            <w:shd w:val="clear" w:color="auto" w:fill="auto"/>
            <w:vAlign w:val="center"/>
          </w:tcPr>
          <w:p w14:paraId="6399F406">
            <w:pPr>
              <w:rPr>
                <w:rFonts w:hint="eastAsia"/>
              </w:rPr>
            </w:pPr>
            <w:r>
              <w:rPr>
                <w:rFonts w:hint="eastAsia"/>
              </w:rPr>
              <w:t>取货方式</w:t>
            </w:r>
          </w:p>
        </w:tc>
        <w:tc>
          <w:tcPr>
            <w:tcW w:w="3179" w:type="pct"/>
            <w:tcBorders>
              <w:tl2br w:val="nil"/>
              <w:tr2bl w:val="nil"/>
            </w:tcBorders>
            <w:shd w:val="clear" w:color="auto" w:fill="auto"/>
            <w:vAlign w:val="center"/>
          </w:tcPr>
          <w:p w14:paraId="24337AE0">
            <w:pPr>
              <w:rPr>
                <w:rFonts w:hint="eastAsia"/>
              </w:rPr>
            </w:pPr>
            <w:r>
              <w:rPr>
                <w:rFonts w:hint="eastAsia"/>
              </w:rPr>
              <w:t>升降式或者电磁锁开门</w:t>
            </w:r>
          </w:p>
        </w:tc>
      </w:tr>
      <w:tr w14:paraId="209E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4DA4EE74">
            <w:pPr>
              <w:rPr>
                <w:rFonts w:hint="eastAsia"/>
              </w:rPr>
            </w:pPr>
            <w:r>
              <w:rPr>
                <w:rFonts w:hint="eastAsia"/>
              </w:rPr>
              <w:t>10、</w:t>
            </w:r>
          </w:p>
        </w:tc>
        <w:tc>
          <w:tcPr>
            <w:tcW w:w="1365" w:type="pct"/>
            <w:tcBorders>
              <w:tl2br w:val="nil"/>
              <w:tr2bl w:val="nil"/>
            </w:tcBorders>
            <w:shd w:val="clear" w:color="auto" w:fill="auto"/>
            <w:vAlign w:val="center"/>
          </w:tcPr>
          <w:p w14:paraId="4B5CA58B">
            <w:pPr>
              <w:rPr>
                <w:rFonts w:hint="eastAsia"/>
              </w:rPr>
            </w:pPr>
            <w:r>
              <w:rPr>
                <w:rFonts w:hint="eastAsia"/>
              </w:rPr>
              <w:t>支付方式</w:t>
            </w:r>
          </w:p>
        </w:tc>
        <w:tc>
          <w:tcPr>
            <w:tcW w:w="3179" w:type="pct"/>
            <w:tcBorders>
              <w:tl2br w:val="nil"/>
              <w:tr2bl w:val="nil"/>
            </w:tcBorders>
            <w:shd w:val="clear" w:color="auto" w:fill="auto"/>
            <w:vAlign w:val="center"/>
          </w:tcPr>
          <w:p w14:paraId="3C479153">
            <w:pPr>
              <w:rPr>
                <w:rFonts w:hint="eastAsia"/>
              </w:rPr>
            </w:pPr>
            <w:r>
              <w:rPr>
                <w:rFonts w:hint="eastAsia"/>
              </w:rPr>
              <w:t>微信/支付宝扫码支付</w:t>
            </w:r>
          </w:p>
        </w:tc>
      </w:tr>
      <w:tr w14:paraId="046E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0C6DCBD9">
            <w:pPr>
              <w:rPr>
                <w:rFonts w:hint="eastAsia"/>
              </w:rPr>
            </w:pPr>
            <w:r>
              <w:rPr>
                <w:rFonts w:hint="eastAsia"/>
              </w:rPr>
              <w:t>11、</w:t>
            </w:r>
          </w:p>
        </w:tc>
        <w:tc>
          <w:tcPr>
            <w:tcW w:w="1365" w:type="pct"/>
            <w:tcBorders>
              <w:tl2br w:val="nil"/>
              <w:tr2bl w:val="nil"/>
            </w:tcBorders>
            <w:shd w:val="clear" w:color="auto" w:fill="auto"/>
            <w:vAlign w:val="center"/>
          </w:tcPr>
          <w:p w14:paraId="6B31F25C">
            <w:pPr>
              <w:rPr>
                <w:rFonts w:hint="eastAsia"/>
              </w:rPr>
            </w:pPr>
            <w:r>
              <w:rPr>
                <w:rFonts w:hint="eastAsia"/>
              </w:rPr>
              <w:t>纸质小票</w:t>
            </w:r>
          </w:p>
        </w:tc>
        <w:tc>
          <w:tcPr>
            <w:tcW w:w="3179" w:type="pct"/>
            <w:tcBorders>
              <w:tl2br w:val="nil"/>
              <w:tr2bl w:val="nil"/>
            </w:tcBorders>
            <w:shd w:val="clear" w:color="auto" w:fill="auto"/>
            <w:vAlign w:val="center"/>
          </w:tcPr>
          <w:p w14:paraId="762BABE7">
            <w:pPr>
              <w:rPr>
                <w:rFonts w:hint="eastAsia"/>
              </w:rPr>
            </w:pPr>
            <w:r>
              <w:rPr>
                <w:rFonts w:hint="eastAsia"/>
              </w:rPr>
              <w:t>自带或选配</w:t>
            </w:r>
          </w:p>
        </w:tc>
      </w:tr>
      <w:tr w14:paraId="74A2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5" w:type="pct"/>
            <w:tcBorders>
              <w:tl2br w:val="nil"/>
              <w:tr2bl w:val="nil"/>
            </w:tcBorders>
            <w:shd w:val="clear" w:color="auto" w:fill="auto"/>
            <w:noWrap/>
            <w:vAlign w:val="center"/>
          </w:tcPr>
          <w:p w14:paraId="27CD1AD6">
            <w:pPr>
              <w:rPr>
                <w:rFonts w:hint="eastAsia"/>
              </w:rPr>
            </w:pPr>
            <w:r>
              <w:rPr>
                <w:rFonts w:hint="eastAsia"/>
              </w:rPr>
              <w:t>12、</w:t>
            </w:r>
          </w:p>
        </w:tc>
        <w:tc>
          <w:tcPr>
            <w:tcW w:w="1365" w:type="pct"/>
            <w:tcBorders>
              <w:tl2br w:val="nil"/>
              <w:tr2bl w:val="nil"/>
            </w:tcBorders>
            <w:shd w:val="clear" w:color="auto" w:fill="auto"/>
            <w:vAlign w:val="center"/>
          </w:tcPr>
          <w:p w14:paraId="028B58B7">
            <w:pPr>
              <w:rPr>
                <w:rFonts w:hint="eastAsia"/>
              </w:rPr>
            </w:pPr>
            <w:r>
              <w:rPr>
                <w:rFonts w:hint="eastAsia"/>
              </w:rPr>
              <w:t>副机连接</w:t>
            </w:r>
          </w:p>
        </w:tc>
        <w:tc>
          <w:tcPr>
            <w:tcW w:w="3179" w:type="pct"/>
            <w:tcBorders>
              <w:tl2br w:val="nil"/>
              <w:tr2bl w:val="nil"/>
            </w:tcBorders>
            <w:shd w:val="clear" w:color="auto" w:fill="auto"/>
            <w:vAlign w:val="center"/>
          </w:tcPr>
          <w:p w14:paraId="36D71735">
            <w:pPr>
              <w:rPr>
                <w:rFonts w:hint="eastAsia"/>
              </w:rPr>
            </w:pPr>
            <w:r>
              <w:rPr>
                <w:rFonts w:hint="eastAsia"/>
              </w:rPr>
              <w:t>售货机设备应支持连接副机功能。</w:t>
            </w:r>
          </w:p>
        </w:tc>
      </w:tr>
      <w:tr w14:paraId="12AD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5" w:type="pct"/>
            <w:tcBorders>
              <w:tl2br w:val="nil"/>
              <w:tr2bl w:val="nil"/>
            </w:tcBorders>
            <w:shd w:val="clear" w:color="auto" w:fill="auto"/>
            <w:noWrap/>
            <w:vAlign w:val="center"/>
          </w:tcPr>
          <w:p w14:paraId="0B713156">
            <w:pPr>
              <w:rPr>
                <w:rFonts w:hint="eastAsia"/>
              </w:rPr>
            </w:pPr>
            <w:r>
              <w:rPr>
                <w:rFonts w:hint="eastAsia"/>
              </w:rPr>
              <w:t>13、</w:t>
            </w:r>
          </w:p>
        </w:tc>
        <w:tc>
          <w:tcPr>
            <w:tcW w:w="2005" w:type="dxa"/>
            <w:tcBorders>
              <w:tl2br w:val="nil"/>
              <w:tr2bl w:val="nil"/>
            </w:tcBorders>
            <w:shd w:val="clear" w:color="auto" w:fill="auto"/>
            <w:vAlign w:val="center"/>
          </w:tcPr>
          <w:p w14:paraId="107E71CF">
            <w:pPr>
              <w:rPr>
                <w:rFonts w:hint="eastAsia"/>
              </w:rPr>
            </w:pPr>
            <w:r>
              <w:rPr>
                <w:rFonts w:hint="eastAsia"/>
              </w:rPr>
              <w:t>患者教育</w:t>
            </w:r>
          </w:p>
        </w:tc>
        <w:tc>
          <w:tcPr>
            <w:tcW w:w="4670" w:type="dxa"/>
            <w:tcBorders>
              <w:tl2br w:val="nil"/>
              <w:tr2bl w:val="nil"/>
            </w:tcBorders>
            <w:shd w:val="clear" w:color="auto" w:fill="auto"/>
            <w:vAlign w:val="center"/>
          </w:tcPr>
          <w:p w14:paraId="5DE0C333">
            <w:pPr>
              <w:rPr>
                <w:rFonts w:hint="eastAsia"/>
              </w:rPr>
            </w:pPr>
            <w:r>
              <w:rPr>
                <w:rFonts w:hint="eastAsia"/>
              </w:rPr>
              <w:t>售货机设备应支持播放患者教育，政策宣传视频文字功能。患者操作手机端不得有各种形式的广告功能。</w:t>
            </w:r>
          </w:p>
        </w:tc>
      </w:tr>
      <w:tr w14:paraId="4B05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5" w:type="pct"/>
            <w:tcBorders>
              <w:tl2br w:val="nil"/>
              <w:tr2bl w:val="nil"/>
            </w:tcBorders>
            <w:shd w:val="clear" w:color="auto" w:fill="auto"/>
            <w:noWrap/>
            <w:vAlign w:val="center"/>
          </w:tcPr>
          <w:p w14:paraId="233FD451">
            <w:pPr>
              <w:rPr>
                <w:rFonts w:hint="eastAsia"/>
              </w:rPr>
            </w:pPr>
            <w:r>
              <w:rPr>
                <w:rFonts w:hint="eastAsia"/>
              </w:rPr>
              <w:t>14、</w:t>
            </w:r>
          </w:p>
        </w:tc>
        <w:tc>
          <w:tcPr>
            <w:tcW w:w="1365" w:type="pct"/>
            <w:tcBorders>
              <w:tl2br w:val="nil"/>
              <w:tr2bl w:val="nil"/>
            </w:tcBorders>
            <w:shd w:val="clear" w:color="auto" w:fill="auto"/>
            <w:vAlign w:val="center"/>
          </w:tcPr>
          <w:p w14:paraId="62C0E949">
            <w:pPr>
              <w:rPr>
                <w:rFonts w:hint="eastAsia"/>
              </w:rPr>
            </w:pPr>
            <w:r>
              <w:rPr>
                <w:rFonts w:hint="eastAsia"/>
              </w:rPr>
              <w:t>商品展示</w:t>
            </w:r>
          </w:p>
        </w:tc>
        <w:tc>
          <w:tcPr>
            <w:tcW w:w="3179" w:type="pct"/>
            <w:tcBorders>
              <w:tl2br w:val="nil"/>
              <w:tr2bl w:val="nil"/>
            </w:tcBorders>
            <w:shd w:val="clear" w:color="auto" w:fill="auto"/>
            <w:vAlign w:val="center"/>
          </w:tcPr>
          <w:p w14:paraId="1DC288C3">
            <w:pPr>
              <w:rPr>
                <w:rFonts w:hint="eastAsia"/>
              </w:rPr>
            </w:pPr>
            <w:r>
              <w:rPr>
                <w:rFonts w:hint="eastAsia"/>
              </w:rPr>
              <w:t>售货机设备应支持顾客能够直观看到售卖的商品，让其自主选择、自由购买</w:t>
            </w:r>
          </w:p>
        </w:tc>
      </w:tr>
      <w:tr w14:paraId="2017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55" w:type="pct"/>
            <w:tcBorders>
              <w:tl2br w:val="nil"/>
              <w:tr2bl w:val="nil"/>
            </w:tcBorders>
            <w:shd w:val="clear" w:color="auto" w:fill="auto"/>
            <w:noWrap/>
            <w:vAlign w:val="center"/>
          </w:tcPr>
          <w:p w14:paraId="2897210B">
            <w:pPr>
              <w:rPr>
                <w:rFonts w:hint="eastAsia"/>
              </w:rPr>
            </w:pPr>
            <w:r>
              <w:rPr>
                <w:rFonts w:hint="eastAsia"/>
              </w:rPr>
              <w:t>15、</w:t>
            </w:r>
          </w:p>
        </w:tc>
        <w:tc>
          <w:tcPr>
            <w:tcW w:w="2005" w:type="dxa"/>
            <w:tcBorders>
              <w:tl2br w:val="nil"/>
              <w:tr2bl w:val="nil"/>
            </w:tcBorders>
            <w:shd w:val="clear" w:color="auto" w:fill="auto"/>
            <w:vAlign w:val="center"/>
          </w:tcPr>
          <w:p w14:paraId="48DB7D22">
            <w:pPr>
              <w:rPr>
                <w:rFonts w:hint="eastAsia"/>
              </w:rPr>
            </w:pPr>
            <w:r>
              <w:rPr>
                <w:rFonts w:hint="eastAsia"/>
              </w:rPr>
              <w:t>货道取货</w:t>
            </w:r>
          </w:p>
        </w:tc>
        <w:tc>
          <w:tcPr>
            <w:tcW w:w="4670" w:type="dxa"/>
            <w:tcBorders>
              <w:tl2br w:val="nil"/>
              <w:tr2bl w:val="nil"/>
            </w:tcBorders>
            <w:shd w:val="clear" w:color="auto" w:fill="auto"/>
            <w:vAlign w:val="center"/>
          </w:tcPr>
          <w:p w14:paraId="275C6EE6">
            <w:pPr>
              <w:rPr>
                <w:rFonts w:hint="eastAsia"/>
              </w:rPr>
            </w:pPr>
            <w:r>
              <w:rPr>
                <w:rFonts w:hint="eastAsia"/>
              </w:rPr>
              <w:t>售货机应支持售卖各种类型的产品（含易脆、不规则、大尺寸等）售卖，若使用格子机则一台格子售货机设备支持不少于三种（含）规格大中小格子货道</w:t>
            </w:r>
            <w:r>
              <w:rPr>
                <w:rFonts w:hint="eastAsia"/>
                <w:lang w:eastAsia="zh-CN"/>
              </w:rPr>
              <w:t>；</w:t>
            </w:r>
            <w:r>
              <w:rPr>
                <w:rFonts w:hint="eastAsia"/>
              </w:rPr>
              <w:t>若使用推杆机设备则必须</w:t>
            </w:r>
            <w:r>
              <w:rPr>
                <w:rFonts w:hint="eastAsia"/>
                <w:highlight w:val="none"/>
              </w:rPr>
              <w:t>采用</w:t>
            </w:r>
            <w:r>
              <w:rPr>
                <w:rFonts w:hint="eastAsia" w:ascii="宋体" w:hAnsi="宋体" w:eastAsia="宋体" w:cs="宋体"/>
                <w:bCs/>
                <w:szCs w:val="21"/>
                <w:highlight w:val="none"/>
                <w:lang w:val="en-US" w:eastAsia="zh-CN"/>
              </w:rPr>
              <w:t>升降式</w:t>
            </w:r>
            <w:r>
              <w:rPr>
                <w:rFonts w:hint="eastAsia"/>
                <w:highlight w:val="none"/>
              </w:rPr>
              <w:t>设备</w:t>
            </w:r>
            <w:r>
              <w:rPr>
                <w:rFonts w:hint="eastAsia"/>
              </w:rPr>
              <w:t>，避免商品破损</w:t>
            </w:r>
            <w:r>
              <w:rPr>
                <w:rFonts w:hint="eastAsia"/>
                <w:lang w:eastAsia="zh-CN"/>
              </w:rPr>
              <w:t>。</w:t>
            </w:r>
          </w:p>
        </w:tc>
      </w:tr>
      <w:tr w14:paraId="5CA9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68" w:type="dxa"/>
            <w:tcBorders>
              <w:tl2br w:val="nil"/>
              <w:tr2bl w:val="nil"/>
            </w:tcBorders>
            <w:shd w:val="clear" w:color="auto" w:fill="auto"/>
            <w:noWrap/>
            <w:vAlign w:val="center"/>
          </w:tcPr>
          <w:p w14:paraId="50D78A99">
            <w:pPr>
              <w:rPr>
                <w:rFonts w:hint="eastAsia"/>
              </w:rPr>
            </w:pPr>
            <w:r>
              <w:rPr>
                <w:rFonts w:hint="eastAsia"/>
              </w:rPr>
              <w:t>16、</w:t>
            </w:r>
          </w:p>
        </w:tc>
        <w:tc>
          <w:tcPr>
            <w:tcW w:w="2005" w:type="dxa"/>
            <w:tcBorders>
              <w:tl2br w:val="nil"/>
              <w:tr2bl w:val="nil"/>
            </w:tcBorders>
            <w:shd w:val="clear" w:color="auto" w:fill="auto"/>
            <w:vAlign w:val="center"/>
          </w:tcPr>
          <w:p w14:paraId="2CB10F44">
            <w:pPr>
              <w:rPr>
                <w:rFonts w:hint="eastAsia"/>
              </w:rPr>
            </w:pPr>
            <w:r>
              <w:rPr>
                <w:rFonts w:hint="eastAsia"/>
              </w:rPr>
              <w:t>手机端操作</w:t>
            </w:r>
          </w:p>
        </w:tc>
        <w:tc>
          <w:tcPr>
            <w:tcW w:w="4670" w:type="dxa"/>
            <w:tcBorders>
              <w:tl2br w:val="nil"/>
              <w:tr2bl w:val="nil"/>
            </w:tcBorders>
            <w:shd w:val="clear" w:color="auto" w:fill="auto"/>
            <w:vAlign w:val="center"/>
          </w:tcPr>
          <w:p w14:paraId="004E65BD">
            <w:pPr>
              <w:rPr>
                <w:rFonts w:hint="eastAsia"/>
              </w:rPr>
            </w:pPr>
            <w:r>
              <w:rPr>
                <w:rFonts w:hint="eastAsia"/>
              </w:rPr>
              <w:t>售货机的补货、开门、退款功能都需在手机端完成，并可远程完成上述功能。</w:t>
            </w:r>
          </w:p>
        </w:tc>
      </w:tr>
      <w:bookmarkEnd w:id="0"/>
    </w:tbl>
    <w:p w14:paraId="4C48302C">
      <w:pPr>
        <w:pStyle w:val="19"/>
        <w:numPr>
          <w:ilvl w:val="0"/>
          <w:numId w:val="0"/>
        </w:numPr>
        <w:ind w:leftChars="0"/>
      </w:pPr>
      <w:r>
        <w:rPr>
          <w:rFonts w:hint="eastAsia"/>
          <w:lang w:val="en-US" w:eastAsia="zh-CN"/>
        </w:rPr>
        <w:t>3.</w:t>
      </w:r>
      <w:r>
        <w:t>设备所有权：自动</w:t>
      </w:r>
      <w:r>
        <w:rPr>
          <w:rFonts w:hint="eastAsia"/>
          <w:lang w:val="en-US" w:eastAsia="zh-CN"/>
        </w:rPr>
        <w:t>售货</w:t>
      </w:r>
      <w:r>
        <w:t>机的所有权归中标人所有，服务期限内，中标人负责设备的维护、保养、更新。</w:t>
      </w:r>
    </w:p>
    <w:p w14:paraId="00706C7D">
      <w:pPr>
        <w:pStyle w:val="19"/>
        <w:numPr>
          <w:ilvl w:val="0"/>
          <w:numId w:val="0"/>
        </w:numPr>
        <w:ind w:leftChars="0"/>
      </w:pPr>
      <w:r>
        <w:rPr>
          <w:rFonts w:hint="eastAsia"/>
          <w:lang w:val="en-US" w:eastAsia="zh-CN"/>
        </w:rPr>
        <w:t>4.</w:t>
      </w:r>
      <w:r>
        <w:t>电源与电费：院方为设备提供符合标准的电源接口，电费由</w:t>
      </w:r>
      <w:r>
        <w:rPr>
          <w:rFonts w:hint="eastAsia"/>
          <w:lang w:val="en-US" w:eastAsia="zh-CN"/>
        </w:rPr>
        <w:t>招</w:t>
      </w:r>
      <w:r>
        <w:rPr>
          <w:rFonts w:hint="eastAsia"/>
          <w:lang w:eastAsia="zh-CN"/>
        </w:rPr>
        <w:t>标人</w:t>
      </w:r>
      <w:r>
        <w:t>承担</w:t>
      </w:r>
      <w:r>
        <w:rPr>
          <w:rFonts w:hint="eastAsia"/>
          <w:lang w:eastAsia="zh-CN"/>
        </w:rPr>
        <w:t>。</w:t>
      </w:r>
    </w:p>
    <w:p w14:paraId="07A1A451">
      <w:pPr>
        <w:pStyle w:val="4"/>
      </w:pPr>
      <w:r>
        <w:t>二、商品管理要求</w:t>
      </w:r>
    </w:p>
    <w:p w14:paraId="53E41E0F">
      <w:pPr>
        <w:pStyle w:val="19"/>
        <w:numPr>
          <w:ilvl w:val="0"/>
          <w:numId w:val="0"/>
        </w:numPr>
        <w:ind w:leftChars="0"/>
      </w:pPr>
      <w:r>
        <w:rPr>
          <w:rFonts w:hint="eastAsia"/>
          <w:lang w:val="en-US" w:eastAsia="zh-CN"/>
        </w:rPr>
        <w:t>1.</w:t>
      </w:r>
      <w:r>
        <w:t>经营范围：中标人可销售预日用品（纸巾、湿巾等）、医用便民耗材（创可贴、医用棉签、一次性水杯</w:t>
      </w:r>
      <w:r>
        <w:rPr>
          <w:rFonts w:hint="eastAsia"/>
          <w:lang w:eastAsia="zh-CN"/>
        </w:rPr>
        <w:t>、尿壶、尿盆、尿不湿</w:t>
      </w:r>
      <w:r>
        <w:t>等，须经院方审核备案）。</w:t>
      </w:r>
    </w:p>
    <w:p w14:paraId="3E73A214">
      <w:pPr>
        <w:pStyle w:val="19"/>
        <w:numPr>
          <w:ilvl w:val="0"/>
          <w:numId w:val="0"/>
        </w:numPr>
        <w:ind w:leftChars="0"/>
      </w:pPr>
      <w:r>
        <w:rPr>
          <w:rFonts w:hint="eastAsia"/>
          <w:lang w:val="en-US" w:eastAsia="zh-CN"/>
        </w:rPr>
        <w:t>2.</w:t>
      </w:r>
      <w:r>
        <w:t>禁止经营范围：严禁销售药品、处方药、含酒精饮品、烟草制品、过期食品、三无产品、假冒伪劣产品及其他不符合国家法律法规和医院管理规定的商品。</w:t>
      </w:r>
    </w:p>
    <w:p w14:paraId="00E35EE7">
      <w:pPr>
        <w:pStyle w:val="19"/>
        <w:numPr>
          <w:ilvl w:val="0"/>
          <w:numId w:val="0"/>
        </w:numPr>
        <w:ind w:leftChars="0"/>
      </w:pPr>
      <w:r>
        <w:rPr>
          <w:rFonts w:hint="eastAsia"/>
          <w:lang w:val="en-US" w:eastAsia="zh-CN"/>
        </w:rPr>
        <w:t>3.</w:t>
      </w:r>
      <w:r>
        <w:t>商品质量要求：</w:t>
      </w:r>
    </w:p>
    <w:p w14:paraId="3AE41CCC">
      <w:pPr>
        <w:pStyle w:val="19"/>
      </w:pPr>
      <w:r>
        <w:t>（1）所有商品须具备合法的生产资质、检验合格证明，中标人须提供商品供应商的营业执照、</w:t>
      </w:r>
      <w:r>
        <w:rPr>
          <w:rFonts w:hint="eastAsia"/>
          <w:lang w:val="en-US" w:eastAsia="zh-CN"/>
        </w:rPr>
        <w:t>医疗器械经营许可证，</w:t>
      </w:r>
      <w:r>
        <w:t>检验报告等复印件（加盖公章），并在院方备案；</w:t>
      </w:r>
    </w:p>
    <w:p w14:paraId="2CD7BDE6">
      <w:pPr>
        <w:pStyle w:val="19"/>
      </w:pPr>
      <w:r>
        <w:t>（2）商品保质期须符合要求，上架商品的剩余保质期≥1/3，临期商品（剩余保质期≤1/3）须及时下架，不得继续销售；</w:t>
      </w:r>
    </w:p>
    <w:p w14:paraId="3FA54190">
      <w:pPr>
        <w:pStyle w:val="19"/>
      </w:pPr>
      <w:r>
        <w:t>（3）中标人须建立商品进货台账和销售台账，详细记录商品名称、规格、数量、生产日期、保质期、供应商信息、进货日期、销售日期等，台账保存期限不少于2年。</w:t>
      </w:r>
    </w:p>
    <w:p w14:paraId="62A36391">
      <w:pPr>
        <w:pStyle w:val="19"/>
        <w:numPr>
          <w:ilvl w:val="0"/>
          <w:numId w:val="0"/>
        </w:numPr>
        <w:ind w:leftChars="0"/>
      </w:pPr>
      <w:r>
        <w:rPr>
          <w:rFonts w:hint="eastAsia"/>
          <w:lang w:val="en-US" w:eastAsia="zh-CN"/>
        </w:rPr>
        <w:t>4.</w:t>
      </w:r>
      <w:r>
        <w:t>商品定价要求：所有商品明码标价，标价牌清晰规范，售价不得高于本地大型商超同期零售价，中标人须每季度向院方提交商品价目表，接受院方监督检查。</w:t>
      </w:r>
    </w:p>
    <w:p w14:paraId="662FFB64">
      <w:pPr>
        <w:pStyle w:val="4"/>
      </w:pPr>
      <w:r>
        <w:t>三、运营服务要求</w:t>
      </w:r>
    </w:p>
    <w:p w14:paraId="3EC7EEE2">
      <w:pPr>
        <w:pStyle w:val="19"/>
        <w:numPr>
          <w:ilvl w:val="0"/>
          <w:numId w:val="0"/>
        </w:numPr>
        <w:ind w:leftChars="0"/>
      </w:pPr>
      <w:r>
        <w:rPr>
          <w:rFonts w:hint="eastAsia"/>
          <w:lang w:val="en-US" w:eastAsia="zh-CN"/>
        </w:rPr>
        <w:t>1.</w:t>
      </w:r>
      <w:r>
        <w:t>补货服务：</w:t>
      </w:r>
    </w:p>
    <w:p w14:paraId="5ABCC4D1">
      <w:pPr>
        <w:pStyle w:val="19"/>
      </w:pPr>
      <w:r>
        <w:t>（1）常规补货：</w:t>
      </w:r>
      <w:r>
        <w:rPr>
          <w:rFonts w:hint="eastAsia"/>
          <w:lang w:val="en-US" w:eastAsia="zh-CN"/>
        </w:rPr>
        <w:t>每天保证每个商品不少于1/3库存量</w:t>
      </w:r>
      <w:r>
        <w:t>，确保商品库存充足，缺货率≤3%；</w:t>
      </w:r>
    </w:p>
    <w:p w14:paraId="625036A9">
      <w:pPr>
        <w:pStyle w:val="19"/>
      </w:pPr>
      <w:r>
        <w:t>（2）高峰补货：节假日、就诊高峰期（如早8:00-10:00、晚17:00-19:00）加密补货频次，确保热门商品不缺货；</w:t>
      </w:r>
    </w:p>
    <w:p w14:paraId="1946677D">
      <w:pPr>
        <w:pStyle w:val="19"/>
      </w:pPr>
      <w:r>
        <w:t>（3）应急补货：接到院方或患者缺货反馈后，</w:t>
      </w:r>
      <w:r>
        <w:rPr>
          <w:rFonts w:hint="eastAsia"/>
          <w:lang w:val="en-US" w:eastAsia="zh-CN"/>
        </w:rPr>
        <w:t>1</w:t>
      </w:r>
      <w:r>
        <w:t>小时内完成补货。</w:t>
      </w:r>
    </w:p>
    <w:p w14:paraId="6B2BDAFC">
      <w:pPr>
        <w:pStyle w:val="19"/>
        <w:numPr>
          <w:ilvl w:val="0"/>
          <w:numId w:val="0"/>
        </w:numPr>
        <w:ind w:leftChars="0"/>
      </w:pPr>
      <w:r>
        <w:rPr>
          <w:rFonts w:hint="eastAsia"/>
          <w:lang w:val="en-US" w:eastAsia="zh-CN"/>
        </w:rPr>
        <w:t>2.</w:t>
      </w:r>
      <w:r>
        <w:t>设备维保服务：</w:t>
      </w:r>
    </w:p>
    <w:p w14:paraId="45F6DF07">
      <w:pPr>
        <w:pStyle w:val="19"/>
      </w:pPr>
      <w:r>
        <w:t>（1）日常巡检：中标人须安排专人</w:t>
      </w:r>
      <w:r>
        <w:rPr>
          <w:rFonts w:hint="eastAsia"/>
          <w:lang w:val="en-US" w:eastAsia="zh-CN"/>
        </w:rPr>
        <w:t>定期</w:t>
      </w:r>
      <w:r>
        <w:t>对设备进行巡检，检查设备运行状态、清洁度、商品保质期等，做好巡检记录；</w:t>
      </w:r>
    </w:p>
    <w:p w14:paraId="297FAF2C">
      <w:pPr>
        <w:pStyle w:val="19"/>
      </w:pPr>
      <w:r>
        <w:t>（2）故障响应：设备出现故障后，中标人须在2小时内响应，4小时内到场维修，24小时内完成修复；若无法在24小时内修复，须提供备用设备，确保不影响正常运营；</w:t>
      </w:r>
    </w:p>
    <w:p w14:paraId="3A2482CA">
      <w:pPr>
        <w:pStyle w:val="19"/>
      </w:pPr>
      <w:r>
        <w:t>（3）定期保养：每季度对设备进行全面保养（包括清洗制冷系统、校准温度、检查电路、更换易损件等），并向院方提交保养记录。</w:t>
      </w:r>
    </w:p>
    <w:p w14:paraId="5F3E9565">
      <w:pPr>
        <w:pStyle w:val="19"/>
        <w:numPr>
          <w:ilvl w:val="0"/>
          <w:numId w:val="0"/>
        </w:numPr>
        <w:ind w:leftChars="0"/>
      </w:pPr>
      <w:r>
        <w:rPr>
          <w:rFonts w:hint="eastAsia"/>
          <w:lang w:val="en-US" w:eastAsia="zh-CN"/>
        </w:rPr>
        <w:t>3.</w:t>
      </w:r>
      <w:r>
        <w:t>清洁消毒服务：</w:t>
      </w:r>
    </w:p>
    <w:p w14:paraId="05873607">
      <w:pPr>
        <w:pStyle w:val="19"/>
      </w:pPr>
      <w:r>
        <w:t>（1）每日清洁：对机身、显示屏、取货口、货道进行清洁，保持设备干净整洁，无灰尘、无污渍；</w:t>
      </w:r>
    </w:p>
    <w:p w14:paraId="61753894">
      <w:pPr>
        <w:pStyle w:val="19"/>
      </w:pPr>
      <w:r>
        <w:t>（2）定期消毒：每周对设备内部进行全面消毒（含紫外线消毒、消毒液擦拭），每月对取货口、触控屏进行深度消毒，消毒记录须留存备查；</w:t>
      </w:r>
    </w:p>
    <w:p w14:paraId="1DB5508E">
      <w:pPr>
        <w:pStyle w:val="19"/>
      </w:pPr>
      <w:r>
        <w:t>（3）卫生标准：设备清洁消毒须符合《医院感染管理规范》要求。</w:t>
      </w:r>
    </w:p>
    <w:p w14:paraId="03820140">
      <w:pPr>
        <w:pStyle w:val="19"/>
        <w:numPr>
          <w:ilvl w:val="0"/>
          <w:numId w:val="0"/>
        </w:numPr>
        <w:ind w:leftChars="0"/>
      </w:pPr>
      <w:r>
        <w:rPr>
          <w:rFonts w:hint="eastAsia"/>
          <w:lang w:val="en-US" w:eastAsia="zh-CN"/>
        </w:rPr>
        <w:t>4.</w:t>
      </w:r>
      <w:r>
        <w:t>应急处理服务：</w:t>
      </w:r>
    </w:p>
    <w:p w14:paraId="0A5ECC45">
      <w:pPr>
        <w:pStyle w:val="19"/>
      </w:pPr>
      <w:r>
        <w:t>（1）卡货、支付异常处理：接到患者或院方反馈后，5分钟内通过远程系统解决，无法远程解决的，</w:t>
      </w:r>
      <w:r>
        <w:rPr>
          <w:rFonts w:hint="eastAsia"/>
          <w:lang w:val="en-US" w:eastAsia="zh-CN"/>
        </w:rPr>
        <w:t>30</w:t>
      </w:r>
      <w:r>
        <w:t>分钟内到场处理，确保患者权益；</w:t>
      </w:r>
    </w:p>
    <w:p w14:paraId="2BCC1706">
      <w:pPr>
        <w:pStyle w:val="19"/>
        <w:rPr>
          <w:color w:val="auto"/>
        </w:rPr>
      </w:pPr>
      <w:r>
        <w:t>（2）投诉处理：设立24小时服务热线，接到投诉后，24小时内完成调查处理，并将处理结</w:t>
      </w:r>
      <w:r>
        <w:rPr>
          <w:color w:val="auto"/>
        </w:rPr>
        <w:t>果反馈给投诉人，投诉办结率100%；</w:t>
      </w:r>
    </w:p>
    <w:p w14:paraId="1A4C5223">
      <w:pPr>
        <w:pStyle w:val="19"/>
        <w:rPr>
          <w:color w:val="auto"/>
        </w:rPr>
      </w:pPr>
      <w:r>
        <w:rPr>
          <w:color w:val="auto"/>
        </w:rPr>
        <w:t>（3）突发事件处理：发生</w:t>
      </w:r>
      <w:r>
        <w:rPr>
          <w:rFonts w:hint="eastAsia"/>
          <w:color w:val="auto"/>
          <w:lang w:val="en-US" w:eastAsia="zh-CN"/>
        </w:rPr>
        <w:t>器械</w:t>
      </w:r>
      <w:r>
        <w:rPr>
          <w:color w:val="auto"/>
        </w:rPr>
        <w:t>安全事故、设备安全事故时，中标人须立即启动应急方案，第一时间向院方报告，并配合院方及相关部门做好处置工作。</w:t>
      </w:r>
    </w:p>
    <w:p w14:paraId="370DAB33">
      <w:pPr>
        <w:pStyle w:val="19"/>
        <w:rPr>
          <w:color w:val="auto"/>
        </w:rPr>
      </w:pPr>
      <w:r>
        <w:rPr>
          <w:rFonts w:hint="eastAsia"/>
          <w:color w:val="auto"/>
          <w:lang w:val="en-US" w:eastAsia="zh-CN"/>
        </w:rPr>
        <w:t>5.数据报送</w:t>
      </w:r>
      <w:r>
        <w:rPr>
          <w:color w:val="auto"/>
        </w:rPr>
        <w:t>要求：中标人须在每月5日前，向院方后勤保障部提交上月运营数据，包括但不限于销售报表、库存报表、设备维保记录、商品价目表、投诉处理记录等，数据须真实、准确、完整。</w:t>
      </w:r>
    </w:p>
    <w:p w14:paraId="3749CF52">
      <w:pPr>
        <w:pStyle w:val="4"/>
      </w:pPr>
      <w:r>
        <w:t>四、安全与合规管理要求</w:t>
      </w:r>
    </w:p>
    <w:p w14:paraId="614BE60E">
      <w:pPr>
        <w:pStyle w:val="19"/>
        <w:numPr>
          <w:ilvl w:val="0"/>
          <w:numId w:val="0"/>
        </w:numPr>
        <w:ind w:leftChars="0"/>
      </w:pPr>
      <w:r>
        <w:rPr>
          <w:rFonts w:hint="eastAsia"/>
          <w:lang w:val="en-US" w:eastAsia="zh-CN"/>
        </w:rPr>
        <w:t>1.</w:t>
      </w:r>
      <w:r>
        <w:t>消防安全：中标人须遵守医院消防安全管理规定，设备安装不得占用消防通道、不得遮挡消防设施，设备摆放符合消防安全距离要求；定期对设备电路进行检查，杜绝消防安全隐患。</w:t>
      </w:r>
    </w:p>
    <w:p w14:paraId="70D0939E">
      <w:pPr>
        <w:pStyle w:val="19"/>
        <w:numPr>
          <w:ilvl w:val="0"/>
          <w:numId w:val="0"/>
        </w:numPr>
        <w:ind w:leftChars="0"/>
      </w:pPr>
      <w:r>
        <w:rPr>
          <w:rFonts w:hint="eastAsia"/>
          <w:lang w:val="en-US" w:eastAsia="zh-CN"/>
        </w:rPr>
        <w:t>2.</w:t>
      </w:r>
      <w:r>
        <w:t>医院感染防控：中标人须配合院方做好医院感染防控工作，运维人员进入医院诊疗区域时，须遵守医院防疫规定，佩戴口罩、工牌，穿工作服，不得随意进入诊疗室、病房等区域。</w:t>
      </w:r>
    </w:p>
    <w:p w14:paraId="364A25E9">
      <w:pPr>
        <w:pStyle w:val="19"/>
        <w:numPr>
          <w:ilvl w:val="0"/>
          <w:numId w:val="0"/>
        </w:numPr>
        <w:ind w:leftChars="0"/>
      </w:pPr>
      <w:r>
        <w:rPr>
          <w:rFonts w:hint="eastAsia"/>
          <w:lang w:val="en-US" w:eastAsia="zh-CN"/>
        </w:rPr>
        <w:t>3.</w:t>
      </w:r>
      <w:r>
        <w:t>合规经营：中标人须严格遵守国家《自动售货机运营管理规范》及医院相关管理规定，不得擅自变更设备点位、增减设备数量、扩大经营范围；不得在设备上张贴未经院方审核的广告（公益广告除外）。</w:t>
      </w:r>
    </w:p>
    <w:p w14:paraId="38A32E02">
      <w:pPr>
        <w:pStyle w:val="19"/>
        <w:numPr>
          <w:ilvl w:val="0"/>
          <w:numId w:val="0"/>
        </w:numPr>
        <w:ind w:leftChars="0"/>
      </w:pPr>
      <w:r>
        <w:rPr>
          <w:rFonts w:hint="eastAsia"/>
          <w:lang w:val="en-US" w:eastAsia="zh-CN"/>
        </w:rPr>
        <w:t>4.</w:t>
      </w:r>
      <w:r>
        <w:t>人员管理：中标人的运维人员、补货人员须持有效健康证上岗，健康证有效期不少于1年；中标人须将运维人员名单、健康证复印件在院方备案，人员变更时须及时报备。</w:t>
      </w:r>
    </w:p>
    <w:p w14:paraId="7ACCD02F">
      <w:pPr>
        <w:pStyle w:val="4"/>
      </w:pPr>
      <w:r>
        <w:t>五、考核机制</w:t>
      </w:r>
    </w:p>
    <w:p w14:paraId="760695B2">
      <w:pPr>
        <w:pStyle w:val="19"/>
        <w:numPr>
          <w:ilvl w:val="0"/>
          <w:numId w:val="0"/>
        </w:numPr>
        <w:ind w:leftChars="0"/>
      </w:pPr>
      <w:r>
        <w:rPr>
          <w:rFonts w:hint="eastAsia"/>
          <w:lang w:val="en-US" w:eastAsia="zh-CN"/>
        </w:rPr>
        <w:t>1.</w:t>
      </w:r>
      <w:r>
        <w:t>院方将建立月度考核、年度考核机制，考核内容包括商品质量、服务态度、设备运维、清洁消毒、合规经营等方面，考核满分100分，80分及以上为合格。</w:t>
      </w:r>
    </w:p>
    <w:p w14:paraId="60FFEB48">
      <w:pPr>
        <w:pStyle w:val="19"/>
        <w:numPr>
          <w:ilvl w:val="0"/>
          <w:numId w:val="0"/>
        </w:numPr>
        <w:ind w:leftChars="0"/>
      </w:pPr>
      <w:r>
        <w:rPr>
          <w:rFonts w:hint="eastAsia"/>
          <w:lang w:val="en-US" w:eastAsia="zh-CN"/>
        </w:rPr>
        <w:t>2.</w:t>
      </w:r>
      <w:r>
        <w:t>月度考核不合格的，中标人须在7日内整改，整改不合格的，扣除</w:t>
      </w:r>
      <w:r>
        <w:rPr>
          <w:rFonts w:hint="eastAsia"/>
          <w:lang w:eastAsia="zh-CN"/>
        </w:rPr>
        <w:t>履约保证金</w:t>
      </w:r>
      <w:r>
        <w:rPr>
          <w:rFonts w:hint="eastAsia"/>
          <w:lang w:val="en-US" w:eastAsia="zh-CN"/>
        </w:rPr>
        <w:t>10%</w:t>
      </w:r>
      <w:r>
        <w:t>；年度考核不合格的，招标人有权解除合同，没收履约保证金。</w:t>
      </w:r>
    </w:p>
    <w:p w14:paraId="304D7BF7">
      <w:pPr>
        <w:pStyle w:val="19"/>
        <w:numPr>
          <w:ilvl w:val="0"/>
          <w:numId w:val="0"/>
        </w:numPr>
        <w:ind w:leftChars="0"/>
      </w:pPr>
      <w:r>
        <w:rPr>
          <w:rFonts w:hint="eastAsia"/>
          <w:lang w:val="en-US" w:eastAsia="zh-CN"/>
        </w:rPr>
        <w:t>3.</w:t>
      </w:r>
      <w:r>
        <w:t>服务期限内，若中标人累计3次月度考核不合格，或发生重大食品安全事故、重大安全责任事故，招标人有权立即解除合同，没收履约保证金，并追究中标人的违约责任。</w:t>
      </w:r>
    </w:p>
    <w:p w14:paraId="2071AFD4">
      <w:pPr>
        <w:pStyle w:val="19"/>
      </w:pPr>
    </w:p>
    <w:p w14:paraId="24E8AC03">
      <w:pPr>
        <w:pBdr>
          <w:bottom w:val="single" w:color="auto" w:sz="6" w:space="1"/>
        </w:pBdr>
      </w:pPr>
    </w:p>
    <w:p w14:paraId="496DB710">
      <w:pPr>
        <w:pStyle w:val="3"/>
      </w:pPr>
      <w:r>
        <w:t>第四部分 评标办法（综合评分法）</w:t>
      </w:r>
    </w:p>
    <w:p w14:paraId="06D74EB4">
      <w:pPr>
        <w:pStyle w:val="4"/>
      </w:pPr>
      <w:r>
        <w:t>一、评标总分</w:t>
      </w:r>
    </w:p>
    <w:p w14:paraId="358D473B">
      <w:pPr>
        <w:pStyle w:val="19"/>
      </w:pPr>
      <w:r>
        <w:t>本项目评标总分为100分，其中商务部分</w:t>
      </w:r>
      <w:r>
        <w:rPr>
          <w:rFonts w:hint="eastAsia"/>
          <w:lang w:val="en-US" w:eastAsia="zh-CN"/>
        </w:rPr>
        <w:t>25</w:t>
      </w:r>
      <w:r>
        <w:t>分、技术部分</w:t>
      </w:r>
      <w:r>
        <w:rPr>
          <w:rFonts w:hint="eastAsia"/>
          <w:lang w:val="en-US" w:eastAsia="zh-CN"/>
        </w:rPr>
        <w:t>15</w:t>
      </w:r>
      <w:r>
        <w:t>分、报价部分</w:t>
      </w:r>
      <w:r>
        <w:rPr>
          <w:rFonts w:hint="eastAsia"/>
          <w:lang w:val="en-US" w:eastAsia="zh-CN"/>
        </w:rPr>
        <w:t>50</w:t>
      </w:r>
      <w:r>
        <w:t>分、服务承诺部分</w:t>
      </w:r>
      <w:r>
        <w:rPr>
          <w:rFonts w:hint="eastAsia"/>
          <w:lang w:val="en-US" w:eastAsia="zh-CN"/>
        </w:rPr>
        <w:t>10</w:t>
      </w:r>
      <w:r>
        <w:t>分。</w:t>
      </w:r>
    </w:p>
    <w:p w14:paraId="0B9E2FE6">
      <w:pPr>
        <w:pStyle w:val="4"/>
        <w:numPr>
          <w:ilvl w:val="0"/>
          <w:numId w:val="1"/>
        </w:numPr>
      </w:pPr>
      <w:r>
        <w:t>评分细则</w:t>
      </w:r>
    </w:p>
    <w:tbl>
      <w:tblPr>
        <w:tblStyle w:val="10"/>
        <w:tblW w:w="5161" w:type="pct"/>
        <w:jc w:val="center"/>
        <w:tblLayout w:type="fixed"/>
        <w:tblCellMar>
          <w:top w:w="0" w:type="dxa"/>
          <w:left w:w="108" w:type="dxa"/>
          <w:bottom w:w="0" w:type="dxa"/>
          <w:right w:w="108" w:type="dxa"/>
        </w:tblCellMar>
      </w:tblPr>
      <w:tblGrid>
        <w:gridCol w:w="883"/>
        <w:gridCol w:w="7191"/>
        <w:gridCol w:w="1466"/>
      </w:tblGrid>
      <w:tr w14:paraId="14AC4FC3">
        <w:tblPrEx>
          <w:tblCellMar>
            <w:top w:w="0" w:type="dxa"/>
            <w:left w:w="108" w:type="dxa"/>
            <w:bottom w:w="0" w:type="dxa"/>
            <w:right w:w="108" w:type="dxa"/>
          </w:tblCellMar>
        </w:tblPrEx>
        <w:trPr>
          <w:trHeight w:val="499" w:hRule="atLeast"/>
          <w:jc w:val="center"/>
        </w:trPr>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B76B0">
            <w:pPr>
              <w:rPr>
                <w:rFonts w:hint="eastAsia"/>
              </w:rPr>
            </w:pPr>
            <w:r>
              <w:rPr>
                <w:rFonts w:hint="eastAsia"/>
              </w:rPr>
              <w:t>序号</w:t>
            </w:r>
          </w:p>
        </w:tc>
        <w:tc>
          <w:tcPr>
            <w:tcW w:w="3768" w:type="pct"/>
            <w:tcBorders>
              <w:top w:val="single" w:color="auto" w:sz="4" w:space="0"/>
              <w:left w:val="nil"/>
              <w:bottom w:val="single" w:color="auto" w:sz="4" w:space="0"/>
              <w:right w:val="single" w:color="auto" w:sz="4" w:space="0"/>
            </w:tcBorders>
            <w:shd w:val="clear" w:color="auto" w:fill="auto"/>
            <w:vAlign w:val="center"/>
          </w:tcPr>
          <w:p w14:paraId="6A45020C">
            <w:pPr>
              <w:rPr>
                <w:rFonts w:hint="eastAsia"/>
              </w:rPr>
            </w:pPr>
            <w:r>
              <w:rPr>
                <w:rFonts w:hint="eastAsia"/>
              </w:rPr>
              <w:t>评分标准</w:t>
            </w:r>
          </w:p>
        </w:tc>
        <w:tc>
          <w:tcPr>
            <w:tcW w:w="768" w:type="pct"/>
            <w:tcBorders>
              <w:top w:val="single" w:color="auto" w:sz="4" w:space="0"/>
              <w:left w:val="nil"/>
              <w:bottom w:val="single" w:color="auto" w:sz="4" w:space="0"/>
              <w:right w:val="single" w:color="auto" w:sz="4" w:space="0"/>
            </w:tcBorders>
            <w:shd w:val="clear" w:color="auto" w:fill="auto"/>
            <w:noWrap/>
            <w:vAlign w:val="center"/>
          </w:tcPr>
          <w:p w14:paraId="7D572ED3">
            <w:pPr>
              <w:rPr>
                <w:rFonts w:hint="eastAsia"/>
              </w:rPr>
            </w:pPr>
            <w:r>
              <w:rPr>
                <w:rFonts w:hint="eastAsia"/>
              </w:rPr>
              <w:t>满分值（分）</w:t>
            </w:r>
          </w:p>
        </w:tc>
      </w:tr>
      <w:tr w14:paraId="225817FB">
        <w:tblPrEx>
          <w:tblCellMar>
            <w:top w:w="0" w:type="dxa"/>
            <w:left w:w="108" w:type="dxa"/>
            <w:bottom w:w="0" w:type="dxa"/>
            <w:right w:w="108" w:type="dxa"/>
          </w:tblCellMar>
        </w:tblPrEx>
        <w:trPr>
          <w:trHeight w:val="522" w:hRule="atLeast"/>
          <w:jc w:val="center"/>
        </w:trPr>
        <w:tc>
          <w:tcPr>
            <w:tcW w:w="462" w:type="pct"/>
            <w:vMerge w:val="restart"/>
            <w:tcBorders>
              <w:top w:val="nil"/>
              <w:left w:val="single" w:color="auto" w:sz="4" w:space="0"/>
              <w:bottom w:val="single" w:color="000000" w:sz="4" w:space="0"/>
              <w:right w:val="single" w:color="auto" w:sz="4" w:space="0"/>
            </w:tcBorders>
            <w:shd w:val="clear" w:color="auto" w:fill="auto"/>
            <w:noWrap/>
            <w:vAlign w:val="center"/>
          </w:tcPr>
          <w:p w14:paraId="317CB01A">
            <w:pPr>
              <w:rPr>
                <w:rFonts w:hint="eastAsia"/>
              </w:rPr>
            </w:pPr>
            <w:r>
              <w:rPr>
                <w:rFonts w:hint="eastAsia"/>
              </w:rPr>
              <w:t>1</w:t>
            </w:r>
          </w:p>
        </w:tc>
        <w:tc>
          <w:tcPr>
            <w:tcW w:w="4537" w:type="pct"/>
            <w:gridSpan w:val="2"/>
            <w:tcBorders>
              <w:top w:val="single" w:color="auto" w:sz="4" w:space="0"/>
              <w:left w:val="nil"/>
              <w:bottom w:val="single" w:color="auto" w:sz="4" w:space="0"/>
              <w:right w:val="single" w:color="000000" w:sz="4" w:space="0"/>
            </w:tcBorders>
            <w:shd w:val="clear" w:color="auto" w:fill="auto"/>
            <w:vAlign w:val="center"/>
          </w:tcPr>
          <w:p w14:paraId="177C9B22">
            <w:pPr>
              <w:rPr>
                <w:rFonts w:hint="eastAsia"/>
              </w:rPr>
            </w:pPr>
            <w:bookmarkStart w:id="1" w:name="RANGE!B2"/>
            <w:r>
              <w:rPr>
                <w:rFonts w:hint="eastAsia"/>
              </w:rPr>
              <w:t>一、运营方案（总计10分）</w:t>
            </w:r>
            <w:bookmarkEnd w:id="1"/>
          </w:p>
        </w:tc>
      </w:tr>
      <w:tr w14:paraId="45AD89C1">
        <w:tblPrEx>
          <w:tblCellMar>
            <w:top w:w="0" w:type="dxa"/>
            <w:left w:w="108" w:type="dxa"/>
            <w:bottom w:w="0" w:type="dxa"/>
            <w:right w:w="108" w:type="dxa"/>
          </w:tblCellMar>
        </w:tblPrEx>
        <w:trPr>
          <w:trHeight w:val="522"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289CCD9B">
            <w:pPr>
              <w:rPr>
                <w:rFonts w:hint="eastAsia"/>
              </w:rPr>
            </w:pPr>
          </w:p>
        </w:tc>
        <w:tc>
          <w:tcPr>
            <w:tcW w:w="7191" w:type="dxa"/>
            <w:tcBorders>
              <w:top w:val="nil"/>
              <w:left w:val="nil"/>
              <w:bottom w:val="single" w:color="auto" w:sz="4" w:space="0"/>
              <w:right w:val="single" w:color="auto" w:sz="4" w:space="0"/>
            </w:tcBorders>
            <w:shd w:val="clear" w:color="auto" w:fill="auto"/>
            <w:vAlign w:val="center"/>
          </w:tcPr>
          <w:p w14:paraId="2288697C">
            <w:pPr>
              <w:rPr>
                <w:rFonts w:hint="eastAsia"/>
              </w:rPr>
            </w:pPr>
            <w:r>
              <w:rPr>
                <w:rFonts w:hint="eastAsia"/>
              </w:rPr>
              <w:t>1.1售货机设备摆放位置方案、售卖商品售卖方案</w:t>
            </w:r>
          </w:p>
        </w:tc>
        <w:tc>
          <w:tcPr>
            <w:tcW w:w="768" w:type="pct"/>
            <w:vMerge w:val="restart"/>
            <w:tcBorders>
              <w:top w:val="nil"/>
              <w:left w:val="single" w:color="auto" w:sz="4" w:space="0"/>
              <w:bottom w:val="single" w:color="000000" w:sz="4" w:space="0"/>
              <w:right w:val="single" w:color="auto" w:sz="4" w:space="0"/>
            </w:tcBorders>
            <w:shd w:val="clear" w:color="auto" w:fill="auto"/>
            <w:noWrap/>
            <w:vAlign w:val="center"/>
          </w:tcPr>
          <w:p w14:paraId="66437A09">
            <w:pPr>
              <w:rPr>
                <w:rFonts w:hint="default" w:eastAsiaTheme="minorEastAsia"/>
                <w:lang w:val="en-US" w:eastAsia="zh-CN"/>
              </w:rPr>
            </w:pPr>
            <w:r>
              <w:rPr>
                <w:rFonts w:hint="eastAsia"/>
                <w:lang w:val="en-US" w:eastAsia="zh-CN"/>
              </w:rPr>
              <w:t>10</w:t>
            </w:r>
          </w:p>
        </w:tc>
      </w:tr>
      <w:tr w14:paraId="4000676F">
        <w:tblPrEx>
          <w:tblCellMar>
            <w:top w:w="0" w:type="dxa"/>
            <w:left w:w="108" w:type="dxa"/>
            <w:bottom w:w="0" w:type="dxa"/>
            <w:right w:w="108" w:type="dxa"/>
          </w:tblCellMar>
        </w:tblPrEx>
        <w:trPr>
          <w:trHeight w:val="1024"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2D8A8CD4">
            <w:pPr>
              <w:rPr>
                <w:rFonts w:hint="eastAsia"/>
              </w:rPr>
            </w:pPr>
          </w:p>
        </w:tc>
        <w:tc>
          <w:tcPr>
            <w:tcW w:w="7191" w:type="dxa"/>
            <w:tcBorders>
              <w:top w:val="nil"/>
              <w:left w:val="nil"/>
              <w:bottom w:val="single" w:color="auto" w:sz="4" w:space="0"/>
              <w:right w:val="single" w:color="auto" w:sz="4" w:space="0"/>
            </w:tcBorders>
            <w:shd w:val="clear" w:color="auto" w:fill="auto"/>
            <w:vAlign w:val="center"/>
          </w:tcPr>
          <w:p w14:paraId="37496115">
            <w:pPr>
              <w:rPr>
                <w:rFonts w:hint="eastAsia"/>
              </w:rPr>
            </w:pPr>
            <w:r>
              <w:rPr>
                <w:rFonts w:hint="eastAsia"/>
              </w:rPr>
              <w:t>1.2售货机日常管理方案，应至少包含产品采购入库售卖以及资质审查方案、售货机设备的安全保障措施、以及应急管理措施</w:t>
            </w:r>
          </w:p>
        </w:tc>
        <w:tc>
          <w:tcPr>
            <w:tcW w:w="768" w:type="pct"/>
            <w:vMerge w:val="continue"/>
            <w:tcBorders>
              <w:top w:val="nil"/>
              <w:left w:val="single" w:color="auto" w:sz="4" w:space="0"/>
              <w:bottom w:val="single" w:color="000000" w:sz="4" w:space="0"/>
              <w:right w:val="single" w:color="auto" w:sz="4" w:space="0"/>
            </w:tcBorders>
            <w:vAlign w:val="center"/>
          </w:tcPr>
          <w:p w14:paraId="151E21B9">
            <w:pPr>
              <w:rPr>
                <w:rFonts w:hint="eastAsia"/>
              </w:rPr>
            </w:pPr>
          </w:p>
        </w:tc>
      </w:tr>
      <w:tr w14:paraId="457CEE4F">
        <w:tblPrEx>
          <w:tblCellMar>
            <w:top w:w="0" w:type="dxa"/>
            <w:left w:w="108" w:type="dxa"/>
            <w:bottom w:w="0" w:type="dxa"/>
            <w:right w:w="108" w:type="dxa"/>
          </w:tblCellMar>
        </w:tblPrEx>
        <w:trPr>
          <w:trHeight w:val="1024"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3E14E0DD">
            <w:pPr>
              <w:rPr>
                <w:rFonts w:hint="eastAsia"/>
              </w:rPr>
            </w:pPr>
          </w:p>
        </w:tc>
        <w:tc>
          <w:tcPr>
            <w:tcW w:w="7191" w:type="dxa"/>
            <w:tcBorders>
              <w:top w:val="nil"/>
              <w:left w:val="nil"/>
              <w:bottom w:val="single" w:color="auto" w:sz="4" w:space="0"/>
              <w:right w:val="single" w:color="auto" w:sz="4" w:space="0"/>
            </w:tcBorders>
            <w:shd w:val="clear" w:color="auto" w:fill="auto"/>
            <w:vAlign w:val="center"/>
          </w:tcPr>
          <w:p w14:paraId="4203526E">
            <w:pPr>
              <w:rPr>
                <w:rFonts w:hint="eastAsia"/>
              </w:rPr>
            </w:pPr>
            <w:r>
              <w:rPr>
                <w:rFonts w:hint="eastAsia"/>
              </w:rPr>
              <w:t>上述每缺一项扣5分，每有一项内容中存在表述不清晰、内容不全面、不合理或操作性较差的扣1-5分，扣完为止。</w:t>
            </w:r>
          </w:p>
        </w:tc>
        <w:tc>
          <w:tcPr>
            <w:tcW w:w="768" w:type="pct"/>
            <w:vMerge w:val="continue"/>
            <w:tcBorders>
              <w:top w:val="nil"/>
              <w:left w:val="single" w:color="auto" w:sz="4" w:space="0"/>
              <w:bottom w:val="single" w:color="000000" w:sz="4" w:space="0"/>
              <w:right w:val="single" w:color="auto" w:sz="4" w:space="0"/>
            </w:tcBorders>
            <w:vAlign w:val="center"/>
          </w:tcPr>
          <w:p w14:paraId="147E1F21">
            <w:pPr>
              <w:rPr>
                <w:rFonts w:hint="eastAsia"/>
              </w:rPr>
            </w:pPr>
          </w:p>
        </w:tc>
      </w:tr>
      <w:tr w14:paraId="76902DBD">
        <w:tblPrEx>
          <w:tblCellMar>
            <w:top w:w="0" w:type="dxa"/>
            <w:left w:w="108" w:type="dxa"/>
            <w:bottom w:w="0" w:type="dxa"/>
            <w:right w:w="108" w:type="dxa"/>
          </w:tblCellMar>
        </w:tblPrEx>
        <w:trPr>
          <w:trHeight w:val="522" w:hRule="atLeast"/>
          <w:jc w:val="center"/>
        </w:trPr>
        <w:tc>
          <w:tcPr>
            <w:tcW w:w="462" w:type="pct"/>
            <w:vMerge w:val="restart"/>
            <w:tcBorders>
              <w:top w:val="nil"/>
              <w:left w:val="single" w:color="auto" w:sz="4" w:space="0"/>
              <w:bottom w:val="single" w:color="000000" w:sz="4" w:space="0"/>
              <w:right w:val="single" w:color="auto" w:sz="4" w:space="0"/>
            </w:tcBorders>
            <w:shd w:val="clear" w:color="auto" w:fill="auto"/>
            <w:noWrap/>
            <w:vAlign w:val="center"/>
          </w:tcPr>
          <w:p w14:paraId="64CF24D0">
            <w:pPr>
              <w:rPr>
                <w:rFonts w:hint="eastAsia"/>
              </w:rPr>
            </w:pPr>
            <w:r>
              <w:rPr>
                <w:rFonts w:hint="eastAsia"/>
              </w:rPr>
              <w:t>2</w:t>
            </w:r>
          </w:p>
        </w:tc>
        <w:tc>
          <w:tcPr>
            <w:tcW w:w="4537" w:type="pct"/>
            <w:gridSpan w:val="2"/>
            <w:tcBorders>
              <w:top w:val="single" w:color="auto" w:sz="4" w:space="0"/>
              <w:left w:val="nil"/>
              <w:bottom w:val="nil"/>
              <w:right w:val="single" w:color="000000" w:sz="4" w:space="0"/>
            </w:tcBorders>
            <w:shd w:val="clear" w:color="auto" w:fill="auto"/>
            <w:vAlign w:val="center"/>
          </w:tcPr>
          <w:p w14:paraId="79C430C7">
            <w:pPr>
              <w:rPr>
                <w:rFonts w:hint="eastAsia"/>
              </w:rPr>
            </w:pPr>
            <w:r>
              <w:rPr>
                <w:rFonts w:hint="eastAsia"/>
              </w:rPr>
              <w:t>二、售后服务评分细则（总计</w:t>
            </w:r>
            <w:r>
              <w:rPr>
                <w:rFonts w:hint="eastAsia"/>
                <w:lang w:val="en-US" w:eastAsia="zh-CN"/>
              </w:rPr>
              <w:t>5</w:t>
            </w:r>
            <w:r>
              <w:rPr>
                <w:rFonts w:hint="eastAsia"/>
              </w:rPr>
              <w:t>分）</w:t>
            </w:r>
          </w:p>
        </w:tc>
      </w:tr>
      <w:tr w14:paraId="3711B277">
        <w:tblPrEx>
          <w:tblCellMar>
            <w:top w:w="0" w:type="dxa"/>
            <w:left w:w="108" w:type="dxa"/>
            <w:bottom w:w="0" w:type="dxa"/>
            <w:right w:w="108" w:type="dxa"/>
          </w:tblCellMar>
        </w:tblPrEx>
        <w:trPr>
          <w:trHeight w:val="522"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143797C9">
            <w:pPr>
              <w:rPr>
                <w:rFonts w:hint="eastAsia"/>
              </w:rPr>
            </w:pPr>
          </w:p>
        </w:tc>
        <w:tc>
          <w:tcPr>
            <w:tcW w:w="3768" w:type="pct"/>
            <w:tcBorders>
              <w:top w:val="single" w:color="auto" w:sz="4" w:space="0"/>
              <w:left w:val="nil"/>
              <w:bottom w:val="single" w:color="auto" w:sz="4" w:space="0"/>
              <w:right w:val="single" w:color="auto" w:sz="4" w:space="0"/>
            </w:tcBorders>
            <w:shd w:val="clear" w:color="auto" w:fill="auto"/>
            <w:vAlign w:val="center"/>
          </w:tcPr>
          <w:p w14:paraId="33C6B1B1">
            <w:pPr>
              <w:rPr>
                <w:rFonts w:hint="eastAsia"/>
              </w:rPr>
            </w:pPr>
            <w:r>
              <w:rPr>
                <w:rFonts w:hint="eastAsia"/>
              </w:rPr>
              <w:t>2.1服务人员设置以及人员职责</w:t>
            </w:r>
          </w:p>
        </w:tc>
        <w:tc>
          <w:tcPr>
            <w:tcW w:w="76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89BAB90">
            <w:pPr>
              <w:rPr>
                <w:rFonts w:hint="eastAsia" w:eastAsiaTheme="minorEastAsia"/>
                <w:lang w:val="en-US" w:eastAsia="zh-CN"/>
              </w:rPr>
            </w:pPr>
            <w:r>
              <w:rPr>
                <w:rFonts w:hint="eastAsia"/>
                <w:lang w:val="en-US" w:eastAsia="zh-CN"/>
              </w:rPr>
              <w:t>5</w:t>
            </w:r>
          </w:p>
        </w:tc>
      </w:tr>
      <w:tr w14:paraId="6AB6324C">
        <w:tblPrEx>
          <w:tblCellMar>
            <w:top w:w="0" w:type="dxa"/>
            <w:left w:w="108" w:type="dxa"/>
            <w:bottom w:w="0" w:type="dxa"/>
            <w:right w:w="108" w:type="dxa"/>
          </w:tblCellMar>
        </w:tblPrEx>
        <w:trPr>
          <w:trHeight w:val="522"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3CF86270">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1FE5290C">
            <w:pPr>
              <w:rPr>
                <w:rFonts w:hint="eastAsia"/>
              </w:rPr>
            </w:pPr>
            <w:r>
              <w:rPr>
                <w:rFonts w:hint="eastAsia"/>
              </w:rPr>
              <w:t>2.2 售后服务流程、售后管理制度、售后投诉与处理措施</w:t>
            </w:r>
          </w:p>
        </w:tc>
        <w:tc>
          <w:tcPr>
            <w:tcW w:w="768" w:type="pct"/>
            <w:vMerge w:val="continue"/>
            <w:tcBorders>
              <w:top w:val="nil"/>
              <w:left w:val="single" w:color="auto" w:sz="4" w:space="0"/>
              <w:bottom w:val="single" w:color="000000" w:sz="4" w:space="0"/>
              <w:right w:val="single" w:color="auto" w:sz="4" w:space="0"/>
            </w:tcBorders>
            <w:vAlign w:val="center"/>
          </w:tcPr>
          <w:p w14:paraId="35647A57">
            <w:pPr>
              <w:rPr>
                <w:rFonts w:hint="eastAsia"/>
              </w:rPr>
            </w:pPr>
          </w:p>
        </w:tc>
      </w:tr>
      <w:tr w14:paraId="2E216AE0">
        <w:tblPrEx>
          <w:tblCellMar>
            <w:top w:w="0" w:type="dxa"/>
            <w:left w:w="108" w:type="dxa"/>
            <w:bottom w:w="0" w:type="dxa"/>
            <w:right w:w="108" w:type="dxa"/>
          </w:tblCellMar>
        </w:tblPrEx>
        <w:trPr>
          <w:trHeight w:val="1024"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5A289172">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6160B235">
            <w:pPr>
              <w:rPr>
                <w:rFonts w:hint="eastAsia"/>
              </w:rPr>
            </w:pPr>
            <w:r>
              <w:rPr>
                <w:rFonts w:hint="eastAsia"/>
              </w:rPr>
              <w:t>上述每缺一项扣</w:t>
            </w:r>
            <w:r>
              <w:rPr>
                <w:rFonts w:hint="eastAsia"/>
                <w:lang w:val="en-US" w:eastAsia="zh-CN"/>
              </w:rPr>
              <w:t>3</w:t>
            </w:r>
            <w:r>
              <w:rPr>
                <w:rFonts w:hint="eastAsia"/>
              </w:rPr>
              <w:t>分，每有一项内容中存在表述不清晰、内容不全面、不合理或操作性较差的扣1-3分，扣完为止。</w:t>
            </w:r>
          </w:p>
        </w:tc>
        <w:tc>
          <w:tcPr>
            <w:tcW w:w="768" w:type="pct"/>
            <w:vMerge w:val="continue"/>
            <w:tcBorders>
              <w:top w:val="nil"/>
              <w:left w:val="single" w:color="auto" w:sz="4" w:space="0"/>
              <w:bottom w:val="single" w:color="000000" w:sz="4" w:space="0"/>
              <w:right w:val="single" w:color="auto" w:sz="4" w:space="0"/>
            </w:tcBorders>
            <w:vAlign w:val="center"/>
          </w:tcPr>
          <w:p w14:paraId="55A17564">
            <w:pPr>
              <w:rPr>
                <w:rFonts w:hint="eastAsia"/>
              </w:rPr>
            </w:pPr>
          </w:p>
        </w:tc>
      </w:tr>
      <w:tr w14:paraId="08C4ECC5">
        <w:tblPrEx>
          <w:tblCellMar>
            <w:top w:w="0" w:type="dxa"/>
            <w:left w:w="108" w:type="dxa"/>
            <w:bottom w:w="0" w:type="dxa"/>
            <w:right w:w="108" w:type="dxa"/>
          </w:tblCellMar>
        </w:tblPrEx>
        <w:trPr>
          <w:trHeight w:val="522" w:hRule="atLeast"/>
          <w:jc w:val="center"/>
        </w:trPr>
        <w:tc>
          <w:tcPr>
            <w:tcW w:w="462" w:type="pct"/>
            <w:vMerge w:val="restart"/>
            <w:tcBorders>
              <w:top w:val="nil"/>
              <w:left w:val="single" w:color="auto" w:sz="4" w:space="0"/>
              <w:bottom w:val="single" w:color="000000" w:sz="4" w:space="0"/>
              <w:right w:val="single" w:color="auto" w:sz="4" w:space="0"/>
            </w:tcBorders>
            <w:shd w:val="clear" w:color="auto" w:fill="auto"/>
            <w:noWrap/>
            <w:vAlign w:val="center"/>
          </w:tcPr>
          <w:p w14:paraId="530DDC48">
            <w:pPr>
              <w:rPr>
                <w:rFonts w:hint="eastAsia"/>
              </w:rPr>
            </w:pPr>
            <w:r>
              <w:rPr>
                <w:rFonts w:hint="eastAsia"/>
              </w:rPr>
              <w:t>3</w:t>
            </w:r>
          </w:p>
        </w:tc>
        <w:tc>
          <w:tcPr>
            <w:tcW w:w="4537" w:type="pct"/>
            <w:gridSpan w:val="2"/>
            <w:tcBorders>
              <w:top w:val="single" w:color="auto" w:sz="4" w:space="0"/>
              <w:left w:val="nil"/>
              <w:bottom w:val="single" w:color="auto" w:sz="4" w:space="0"/>
              <w:right w:val="single" w:color="000000" w:sz="4" w:space="0"/>
            </w:tcBorders>
            <w:shd w:val="clear" w:color="auto" w:fill="auto"/>
            <w:vAlign w:val="center"/>
          </w:tcPr>
          <w:p w14:paraId="55C885E1">
            <w:pPr>
              <w:rPr>
                <w:rFonts w:hint="eastAsia"/>
              </w:rPr>
            </w:pPr>
            <w:r>
              <w:rPr>
                <w:rFonts w:hint="eastAsia"/>
              </w:rPr>
              <w:t>三、业绩案例评分细则（总计</w:t>
            </w:r>
            <w:r>
              <w:rPr>
                <w:rFonts w:hint="eastAsia"/>
                <w:lang w:val="en-US" w:eastAsia="zh-CN"/>
              </w:rPr>
              <w:t>5</w:t>
            </w:r>
            <w:r>
              <w:rPr>
                <w:rFonts w:hint="eastAsia"/>
              </w:rPr>
              <w:t>分）</w:t>
            </w:r>
          </w:p>
        </w:tc>
      </w:tr>
      <w:tr w14:paraId="022D3FB7">
        <w:tblPrEx>
          <w:tblCellMar>
            <w:top w:w="0" w:type="dxa"/>
            <w:left w:w="108" w:type="dxa"/>
            <w:bottom w:w="0" w:type="dxa"/>
            <w:right w:w="108" w:type="dxa"/>
          </w:tblCellMar>
        </w:tblPrEx>
        <w:trPr>
          <w:trHeight w:val="4177"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05BC07DA">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1985F836">
            <w:pPr>
              <w:rPr>
                <w:rFonts w:hint="eastAsia"/>
              </w:rPr>
            </w:pPr>
            <w:r>
              <w:rPr>
                <w:rFonts w:hint="eastAsia"/>
              </w:rPr>
              <w:t>3.1根据20</w:t>
            </w:r>
            <w:r>
              <w:rPr>
                <w:rFonts w:hint="eastAsia"/>
                <w:lang w:val="en-US" w:eastAsia="zh-CN"/>
              </w:rPr>
              <w:t>20</w:t>
            </w:r>
            <w:r>
              <w:rPr>
                <w:rFonts w:hint="eastAsia"/>
              </w:rPr>
              <w:t>年至今（以合同签订时间为准）供应商（或授权给供应商的生产企业）在公立三级医院的自动售卖机运营业绩（要求应包含医疗相关产品、医用耗材、医疗器械、日用品等。注：仅仅预包装食品（饮料等）经营业绩不予计分）进行评价，每提供一个三</w:t>
            </w:r>
            <w:r>
              <w:rPr>
                <w:rFonts w:hint="eastAsia"/>
                <w:lang w:val="en-US" w:eastAsia="zh-CN"/>
              </w:rPr>
              <w:t>级</w:t>
            </w:r>
            <w:r>
              <w:rPr>
                <w:rFonts w:hint="eastAsia"/>
              </w:rPr>
              <w:t>医院的运营业绩得</w:t>
            </w:r>
            <w:r>
              <w:rPr>
                <w:rFonts w:hint="eastAsia"/>
                <w:lang w:val="en-US" w:eastAsia="zh-CN"/>
              </w:rPr>
              <w:t>1</w:t>
            </w:r>
            <w:r>
              <w:rPr>
                <w:rFonts w:hint="eastAsia"/>
              </w:rPr>
              <w:t>分，满分</w:t>
            </w:r>
            <w:r>
              <w:rPr>
                <w:rFonts w:hint="eastAsia"/>
                <w:lang w:val="en-US" w:eastAsia="zh-CN"/>
              </w:rPr>
              <w:t>5</w:t>
            </w:r>
            <w:r>
              <w:rPr>
                <w:rFonts w:hint="eastAsia"/>
              </w:rPr>
              <w:t xml:space="preserve">分。 </w:t>
            </w:r>
          </w:p>
          <w:p w14:paraId="65466DB4">
            <w:pPr>
              <w:rPr>
                <w:rFonts w:hint="eastAsia"/>
              </w:rPr>
            </w:pPr>
            <w:r>
              <w:rPr>
                <w:rFonts w:hint="eastAsia"/>
              </w:rPr>
              <w:t>说明：</w:t>
            </w:r>
          </w:p>
          <w:p w14:paraId="4553CD7D">
            <w:pPr>
              <w:numPr>
                <w:ilvl w:val="0"/>
                <w:numId w:val="2"/>
              </w:numPr>
              <w:rPr>
                <w:rFonts w:hint="eastAsia"/>
              </w:rPr>
            </w:pPr>
            <w:r>
              <w:rPr>
                <w:rFonts w:hint="eastAsia"/>
              </w:rPr>
              <w:t>运营业绩证明材料为供应商（或授权给供应商的生产企业）与公立三</w:t>
            </w:r>
            <w:r>
              <w:rPr>
                <w:rFonts w:hint="eastAsia"/>
                <w:lang w:val="en-US" w:eastAsia="zh-CN"/>
              </w:rPr>
              <w:t>级</w:t>
            </w:r>
            <w:r>
              <w:rPr>
                <w:rFonts w:hint="eastAsia"/>
              </w:rPr>
              <w:t>医院签署的合同（协议）文本复印件或者公立三</w:t>
            </w:r>
            <w:r>
              <w:rPr>
                <w:rFonts w:hint="eastAsia"/>
                <w:lang w:val="en-US" w:eastAsia="zh-CN"/>
              </w:rPr>
              <w:t>级</w:t>
            </w:r>
            <w:r>
              <w:rPr>
                <w:rFonts w:hint="eastAsia"/>
              </w:rPr>
              <w:t>医院官网/招标机构的中标通知公示（或提供官网网址链接）</w:t>
            </w:r>
          </w:p>
          <w:p w14:paraId="1F0E0824">
            <w:pPr>
              <w:numPr>
                <w:ilvl w:val="0"/>
                <w:numId w:val="2"/>
              </w:numPr>
              <w:rPr>
                <w:rFonts w:hint="eastAsia"/>
              </w:rPr>
            </w:pPr>
            <w:r>
              <w:rPr>
                <w:rFonts w:hint="eastAsia"/>
              </w:rPr>
              <w:t>供应商提供的三</w:t>
            </w:r>
            <w:r>
              <w:rPr>
                <w:rFonts w:hint="eastAsia"/>
                <w:lang w:val="en-US" w:eastAsia="zh-CN"/>
              </w:rPr>
              <w:t>级</w:t>
            </w:r>
            <w:r>
              <w:rPr>
                <w:rFonts w:hint="eastAsia"/>
              </w:rPr>
              <w:t>医院业绩证明材料必须为公立三</w:t>
            </w:r>
            <w:r>
              <w:rPr>
                <w:rFonts w:hint="eastAsia"/>
                <w:lang w:val="en-US" w:eastAsia="zh-CN"/>
              </w:rPr>
              <w:t>级</w:t>
            </w:r>
            <w:r>
              <w:rPr>
                <w:rFonts w:hint="eastAsia"/>
              </w:rPr>
              <w:t>医院，三</w:t>
            </w:r>
            <w:r>
              <w:rPr>
                <w:rFonts w:hint="eastAsia"/>
                <w:lang w:val="en-US" w:eastAsia="zh-CN"/>
              </w:rPr>
              <w:t>级</w:t>
            </w:r>
            <w:r>
              <w:rPr>
                <w:rFonts w:hint="eastAsia"/>
              </w:rPr>
              <w:t xml:space="preserve">医院标准认定按提交案例医院的官网以及医疗机构分类目录为准。                                                                     </w:t>
            </w:r>
          </w:p>
          <w:p w14:paraId="31C2C26D">
            <w:pPr>
              <w:rPr>
                <w:rFonts w:hint="eastAsia"/>
              </w:rPr>
            </w:pPr>
            <w:r>
              <w:rPr>
                <w:rFonts w:hint="eastAsia"/>
                <w:lang w:val="en-US" w:eastAsia="zh-CN"/>
              </w:rPr>
              <w:t>3、</w:t>
            </w:r>
            <w:r>
              <w:rPr>
                <w:rFonts w:hint="eastAsia"/>
              </w:rPr>
              <w:t>供应商提供的三</w:t>
            </w:r>
            <w:r>
              <w:rPr>
                <w:rFonts w:hint="eastAsia"/>
                <w:lang w:val="en-US" w:eastAsia="zh-CN"/>
              </w:rPr>
              <w:t>级</w:t>
            </w:r>
            <w:r>
              <w:rPr>
                <w:rFonts w:hint="eastAsia"/>
              </w:rPr>
              <w:t xml:space="preserve">医院业绩证明材料必须为公立三甲医院，三甲医院标准认定按提交案例医院的官网以及医疗机构分类目录为准。 </w:t>
            </w:r>
          </w:p>
        </w:tc>
        <w:tc>
          <w:tcPr>
            <w:tcW w:w="768" w:type="pct"/>
            <w:tcBorders>
              <w:top w:val="nil"/>
              <w:left w:val="single" w:color="auto" w:sz="4" w:space="0"/>
              <w:bottom w:val="single" w:color="000000" w:sz="4" w:space="0"/>
              <w:right w:val="single" w:color="auto" w:sz="4" w:space="0"/>
            </w:tcBorders>
            <w:shd w:val="clear" w:color="auto" w:fill="auto"/>
            <w:noWrap/>
            <w:vAlign w:val="center"/>
          </w:tcPr>
          <w:p w14:paraId="438FE411">
            <w:pPr>
              <w:rPr>
                <w:rFonts w:hint="eastAsia" w:eastAsiaTheme="minorEastAsia"/>
                <w:lang w:eastAsia="zh-CN"/>
              </w:rPr>
            </w:pPr>
            <w:r>
              <w:rPr>
                <w:rFonts w:hint="eastAsia"/>
                <w:lang w:val="en-US" w:eastAsia="zh-CN"/>
              </w:rPr>
              <w:t>5</w:t>
            </w:r>
          </w:p>
        </w:tc>
      </w:tr>
      <w:tr w14:paraId="19AB5CA4">
        <w:tblPrEx>
          <w:tblCellMar>
            <w:top w:w="0" w:type="dxa"/>
            <w:left w:w="108" w:type="dxa"/>
            <w:bottom w:w="0" w:type="dxa"/>
            <w:right w:w="108" w:type="dxa"/>
          </w:tblCellMar>
        </w:tblPrEx>
        <w:trPr>
          <w:trHeight w:val="522" w:hRule="atLeast"/>
          <w:jc w:val="center"/>
        </w:trPr>
        <w:tc>
          <w:tcPr>
            <w:tcW w:w="462" w:type="pct"/>
            <w:vMerge w:val="restart"/>
            <w:tcBorders>
              <w:top w:val="nil"/>
              <w:left w:val="single" w:color="auto" w:sz="4" w:space="0"/>
              <w:right w:val="single" w:color="auto" w:sz="4" w:space="0"/>
            </w:tcBorders>
            <w:vAlign w:val="center"/>
          </w:tcPr>
          <w:p w14:paraId="2332F5D2">
            <w:pPr>
              <w:rPr>
                <w:rFonts w:hint="eastAsia"/>
              </w:rPr>
            </w:pPr>
          </w:p>
          <w:p w14:paraId="21E8425F">
            <w:pPr>
              <w:rPr>
                <w:rFonts w:hint="eastAsia"/>
              </w:rPr>
            </w:pPr>
            <w:r>
              <w:rPr>
                <w:rFonts w:hint="eastAsia"/>
              </w:rPr>
              <w:t>4</w:t>
            </w:r>
          </w:p>
        </w:tc>
        <w:tc>
          <w:tcPr>
            <w:tcW w:w="4537" w:type="pct"/>
            <w:gridSpan w:val="2"/>
            <w:tcBorders>
              <w:top w:val="single" w:color="auto" w:sz="4" w:space="0"/>
              <w:left w:val="nil"/>
              <w:bottom w:val="single" w:color="auto" w:sz="4" w:space="0"/>
              <w:right w:val="single" w:color="auto" w:sz="4" w:space="0"/>
            </w:tcBorders>
            <w:shd w:val="clear" w:color="auto" w:fill="auto"/>
            <w:vAlign w:val="center"/>
          </w:tcPr>
          <w:p w14:paraId="750D48B6">
            <w:pPr>
              <w:rPr>
                <w:rFonts w:hint="eastAsia"/>
              </w:rPr>
            </w:pPr>
            <w:r>
              <w:rPr>
                <w:rFonts w:hint="eastAsia"/>
              </w:rPr>
              <w:t>四、设备技术参数评分细则（总计</w:t>
            </w:r>
            <w:r>
              <w:rPr>
                <w:rFonts w:hint="eastAsia"/>
                <w:lang w:val="en-US" w:eastAsia="zh-CN"/>
              </w:rPr>
              <w:t>20</w:t>
            </w:r>
            <w:r>
              <w:rPr>
                <w:rFonts w:hint="eastAsia"/>
              </w:rPr>
              <w:t>分）</w:t>
            </w:r>
          </w:p>
        </w:tc>
      </w:tr>
      <w:tr w14:paraId="23CF1098">
        <w:tblPrEx>
          <w:tblCellMar>
            <w:top w:w="0" w:type="dxa"/>
            <w:left w:w="108" w:type="dxa"/>
            <w:bottom w:w="0" w:type="dxa"/>
            <w:right w:w="108" w:type="dxa"/>
          </w:tblCellMar>
        </w:tblPrEx>
        <w:trPr>
          <w:trHeight w:val="558" w:hRule="atLeast"/>
          <w:jc w:val="center"/>
        </w:trPr>
        <w:tc>
          <w:tcPr>
            <w:tcW w:w="462" w:type="pct"/>
            <w:vMerge w:val="continue"/>
            <w:tcBorders>
              <w:left w:val="single" w:color="auto" w:sz="4" w:space="0"/>
              <w:right w:val="single" w:color="auto" w:sz="4" w:space="0"/>
            </w:tcBorders>
            <w:vAlign w:val="center"/>
          </w:tcPr>
          <w:p w14:paraId="5E0DB00E">
            <w:pPr>
              <w:rPr>
                <w:rFonts w:hint="eastAsia"/>
              </w:rPr>
            </w:pPr>
          </w:p>
        </w:tc>
        <w:tc>
          <w:tcPr>
            <w:tcW w:w="3768" w:type="pct"/>
            <w:tcBorders>
              <w:top w:val="single" w:color="auto" w:sz="4" w:space="0"/>
              <w:left w:val="nil"/>
              <w:bottom w:val="single" w:color="auto" w:sz="4" w:space="0"/>
              <w:right w:val="single" w:color="auto" w:sz="4" w:space="0"/>
            </w:tcBorders>
            <w:shd w:val="clear" w:color="auto" w:fill="auto"/>
            <w:vAlign w:val="center"/>
          </w:tcPr>
          <w:p w14:paraId="4E27F6EE">
            <w:pPr>
              <w:rPr>
                <w:rFonts w:hint="eastAsia"/>
              </w:rPr>
            </w:pPr>
            <w:r>
              <w:rPr>
                <w:rFonts w:hint="eastAsia"/>
                <w:color w:val="333333"/>
              </w:rPr>
              <w:t>4.1</w:t>
            </w:r>
            <w:r>
              <w:rPr>
                <w:rFonts w:hint="eastAsia"/>
                <w:lang w:val="en-US" w:eastAsia="zh-CN"/>
              </w:rPr>
              <w:t>售货</w:t>
            </w:r>
            <w:r>
              <w:rPr>
                <w:rFonts w:hint="eastAsia"/>
              </w:rPr>
              <w:t>机系统应同时具有管理者、顾客两种小程序，方便进行管理</w:t>
            </w:r>
          </w:p>
        </w:tc>
        <w:tc>
          <w:tcPr>
            <w:tcW w:w="768" w:type="pct"/>
            <w:vMerge w:val="restart"/>
            <w:tcBorders>
              <w:top w:val="single" w:color="auto" w:sz="4" w:space="0"/>
              <w:left w:val="nil"/>
              <w:right w:val="single" w:color="auto" w:sz="4" w:space="0"/>
            </w:tcBorders>
            <w:shd w:val="clear" w:color="auto" w:fill="auto"/>
            <w:noWrap/>
            <w:vAlign w:val="center"/>
          </w:tcPr>
          <w:p w14:paraId="6E38ED3D">
            <w:pPr>
              <w:rPr>
                <w:rFonts w:hint="eastAsia"/>
              </w:rPr>
            </w:pPr>
            <w:r>
              <w:rPr>
                <w:rFonts w:hint="eastAsia"/>
              </w:rPr>
              <w:t> </w:t>
            </w:r>
          </w:p>
          <w:p w14:paraId="18F222C4">
            <w:pPr>
              <w:rPr>
                <w:rFonts w:hint="eastAsia"/>
              </w:rPr>
            </w:pPr>
            <w:r>
              <w:rPr>
                <w:rFonts w:hint="eastAsia"/>
              </w:rPr>
              <w:t>　</w:t>
            </w:r>
          </w:p>
          <w:p w14:paraId="1C2C785F">
            <w:pPr>
              <w:rPr>
                <w:rFonts w:hint="eastAsia"/>
              </w:rPr>
            </w:pPr>
            <w:r>
              <w:rPr>
                <w:rFonts w:hint="eastAsia"/>
              </w:rPr>
              <w:t>　</w:t>
            </w:r>
          </w:p>
          <w:p w14:paraId="71128CB5">
            <w:pPr>
              <w:rPr>
                <w:rFonts w:hint="eastAsia"/>
              </w:rPr>
            </w:pPr>
            <w:r>
              <w:rPr>
                <w:rFonts w:hint="eastAsia"/>
              </w:rPr>
              <w:t>　</w:t>
            </w:r>
          </w:p>
          <w:p w14:paraId="6FACDE6F">
            <w:pPr>
              <w:rPr>
                <w:rFonts w:hint="eastAsia"/>
              </w:rPr>
            </w:pPr>
            <w:r>
              <w:rPr>
                <w:rFonts w:hint="eastAsia"/>
              </w:rPr>
              <w:t>　</w:t>
            </w:r>
          </w:p>
          <w:p w14:paraId="55DE2AB4">
            <w:pPr>
              <w:rPr>
                <w:rFonts w:hint="eastAsia"/>
              </w:rPr>
            </w:pPr>
            <w:r>
              <w:rPr>
                <w:rFonts w:hint="eastAsia"/>
              </w:rPr>
              <w:t>　</w:t>
            </w:r>
          </w:p>
          <w:p w14:paraId="47192843">
            <w:pPr>
              <w:rPr>
                <w:rFonts w:hint="eastAsia"/>
              </w:rPr>
            </w:pPr>
            <w:r>
              <w:rPr>
                <w:rFonts w:hint="eastAsia"/>
              </w:rPr>
              <w:t>　</w:t>
            </w:r>
          </w:p>
          <w:p w14:paraId="2B2A6942">
            <w:pPr>
              <w:rPr>
                <w:rFonts w:hint="eastAsia"/>
              </w:rPr>
            </w:pPr>
            <w:r>
              <w:rPr>
                <w:rFonts w:hint="eastAsia"/>
              </w:rPr>
              <w:t>　</w:t>
            </w:r>
          </w:p>
          <w:p w14:paraId="1514D76E">
            <w:pPr>
              <w:rPr>
                <w:rFonts w:hint="eastAsia"/>
              </w:rPr>
            </w:pPr>
            <w:r>
              <w:rPr>
                <w:rFonts w:hint="eastAsia"/>
              </w:rPr>
              <w:t>　</w:t>
            </w:r>
          </w:p>
          <w:p w14:paraId="5B995141">
            <w:pPr>
              <w:rPr>
                <w:rFonts w:hint="eastAsia"/>
              </w:rPr>
            </w:pPr>
            <w:r>
              <w:rPr>
                <w:rFonts w:hint="eastAsia"/>
                <w:lang w:val="en-US" w:eastAsia="zh-CN"/>
              </w:rPr>
              <w:t>20</w:t>
            </w:r>
            <w:r>
              <w:rPr>
                <w:rFonts w:hint="eastAsia"/>
              </w:rPr>
              <w:t>分　</w:t>
            </w:r>
          </w:p>
        </w:tc>
      </w:tr>
      <w:tr w14:paraId="0169E72F">
        <w:tblPrEx>
          <w:tblCellMar>
            <w:top w:w="0" w:type="dxa"/>
            <w:left w:w="108" w:type="dxa"/>
            <w:bottom w:w="0" w:type="dxa"/>
            <w:right w:w="108" w:type="dxa"/>
          </w:tblCellMar>
        </w:tblPrEx>
        <w:trPr>
          <w:trHeight w:val="1024" w:hRule="atLeast"/>
          <w:jc w:val="center"/>
        </w:trPr>
        <w:tc>
          <w:tcPr>
            <w:tcW w:w="462" w:type="pct"/>
            <w:vMerge w:val="continue"/>
            <w:tcBorders>
              <w:left w:val="single" w:color="auto" w:sz="4" w:space="0"/>
              <w:right w:val="single" w:color="auto" w:sz="4" w:space="0"/>
            </w:tcBorders>
            <w:vAlign w:val="center"/>
          </w:tcPr>
          <w:p w14:paraId="59BC52DC">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28C3B23E">
            <w:pPr>
              <w:rPr>
                <w:rFonts w:hint="eastAsia"/>
              </w:rPr>
            </w:pPr>
            <w:r>
              <w:rPr>
                <w:rFonts w:hint="eastAsia"/>
                <w:color w:val="333333"/>
              </w:rPr>
              <w:t>4.2</w:t>
            </w:r>
            <w:r>
              <w:rPr>
                <w:rFonts w:hint="eastAsia"/>
                <w:lang w:val="en-US" w:eastAsia="zh-CN"/>
              </w:rPr>
              <w:t>售货</w:t>
            </w:r>
            <w:r>
              <w:rPr>
                <w:rFonts w:hint="eastAsia"/>
              </w:rPr>
              <w:t>机系统支持先补货，先出货功能，避免造成部分商品长期不能售卖，造成</w:t>
            </w:r>
            <w:r>
              <w:rPr>
                <w:rFonts w:hint="eastAsia"/>
                <w:lang w:val="en-US" w:eastAsia="zh-CN"/>
              </w:rPr>
              <w:t>售货</w:t>
            </w:r>
            <w:r>
              <w:rPr>
                <w:rFonts w:hint="eastAsia"/>
              </w:rPr>
              <w:t>机设备售卖过期商品</w:t>
            </w:r>
          </w:p>
        </w:tc>
        <w:tc>
          <w:tcPr>
            <w:tcW w:w="768" w:type="pct"/>
            <w:vMerge w:val="continue"/>
            <w:tcBorders>
              <w:left w:val="nil"/>
              <w:right w:val="single" w:color="auto" w:sz="4" w:space="0"/>
            </w:tcBorders>
            <w:shd w:val="clear" w:color="auto" w:fill="auto"/>
            <w:noWrap/>
            <w:vAlign w:val="center"/>
          </w:tcPr>
          <w:p w14:paraId="7699B2B6">
            <w:pPr>
              <w:rPr>
                <w:rFonts w:hint="eastAsia"/>
              </w:rPr>
            </w:pPr>
          </w:p>
        </w:tc>
      </w:tr>
      <w:tr w14:paraId="271FF90C">
        <w:tblPrEx>
          <w:tblCellMar>
            <w:top w:w="0" w:type="dxa"/>
            <w:left w:w="108" w:type="dxa"/>
            <w:bottom w:w="0" w:type="dxa"/>
            <w:right w:w="108" w:type="dxa"/>
          </w:tblCellMar>
        </w:tblPrEx>
        <w:trPr>
          <w:trHeight w:val="1024" w:hRule="atLeast"/>
          <w:jc w:val="center"/>
        </w:trPr>
        <w:tc>
          <w:tcPr>
            <w:tcW w:w="462" w:type="pct"/>
            <w:vMerge w:val="continue"/>
            <w:tcBorders>
              <w:left w:val="single" w:color="auto" w:sz="4" w:space="0"/>
              <w:right w:val="single" w:color="auto" w:sz="4" w:space="0"/>
            </w:tcBorders>
            <w:vAlign w:val="center"/>
          </w:tcPr>
          <w:p w14:paraId="56D69B50">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02113079">
            <w:pPr>
              <w:rPr>
                <w:rFonts w:hint="eastAsia"/>
              </w:rPr>
            </w:pPr>
            <w:r>
              <w:rPr>
                <w:rFonts w:hint="eastAsia"/>
              </w:rPr>
              <w:t>4.3售货机系统应支持效期提醒，售卖商品临近效期提醒补货人下架，并支持过期商品不允许售卖功能。</w:t>
            </w:r>
          </w:p>
        </w:tc>
        <w:tc>
          <w:tcPr>
            <w:tcW w:w="768" w:type="pct"/>
            <w:vMerge w:val="continue"/>
            <w:tcBorders>
              <w:left w:val="nil"/>
              <w:right w:val="single" w:color="auto" w:sz="4" w:space="0"/>
            </w:tcBorders>
            <w:shd w:val="clear" w:color="auto" w:fill="auto"/>
            <w:noWrap/>
            <w:vAlign w:val="center"/>
          </w:tcPr>
          <w:p w14:paraId="687D39D1">
            <w:pPr>
              <w:rPr>
                <w:rFonts w:hint="eastAsia"/>
              </w:rPr>
            </w:pPr>
          </w:p>
        </w:tc>
      </w:tr>
      <w:tr w14:paraId="175E6C85">
        <w:tblPrEx>
          <w:tblCellMar>
            <w:top w:w="0" w:type="dxa"/>
            <w:left w:w="108" w:type="dxa"/>
            <w:bottom w:w="0" w:type="dxa"/>
            <w:right w:w="108" w:type="dxa"/>
          </w:tblCellMar>
        </w:tblPrEx>
        <w:trPr>
          <w:trHeight w:val="1024" w:hRule="atLeast"/>
          <w:jc w:val="center"/>
        </w:trPr>
        <w:tc>
          <w:tcPr>
            <w:tcW w:w="462" w:type="pct"/>
            <w:vMerge w:val="continue"/>
            <w:tcBorders>
              <w:left w:val="single" w:color="auto" w:sz="4" w:space="0"/>
              <w:right w:val="single" w:color="auto" w:sz="4" w:space="0"/>
            </w:tcBorders>
            <w:vAlign w:val="center"/>
          </w:tcPr>
          <w:p w14:paraId="10A1FDFB">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319937A3">
            <w:pPr>
              <w:rPr>
                <w:rFonts w:hint="eastAsia"/>
              </w:rPr>
            </w:pPr>
            <w:r>
              <w:rPr>
                <w:rFonts w:hint="eastAsia"/>
                <w:color w:val="333333"/>
              </w:rPr>
              <w:t>4.4</w:t>
            </w:r>
            <w:r>
              <w:rPr>
                <w:rFonts w:hint="eastAsia"/>
              </w:rPr>
              <w:t>售货机系统须支持顾客点击操控屏购买，顾客点击屏幕可以查看在售商品完整电子说明书内容/产品批号等信息内容</w:t>
            </w:r>
          </w:p>
        </w:tc>
        <w:tc>
          <w:tcPr>
            <w:tcW w:w="768" w:type="pct"/>
            <w:vMerge w:val="continue"/>
            <w:tcBorders>
              <w:left w:val="nil"/>
              <w:right w:val="single" w:color="auto" w:sz="4" w:space="0"/>
            </w:tcBorders>
            <w:shd w:val="clear" w:color="auto" w:fill="auto"/>
            <w:noWrap/>
            <w:vAlign w:val="center"/>
          </w:tcPr>
          <w:p w14:paraId="5DF83D8F">
            <w:pPr>
              <w:rPr>
                <w:rFonts w:hint="eastAsia"/>
              </w:rPr>
            </w:pPr>
          </w:p>
        </w:tc>
      </w:tr>
      <w:tr w14:paraId="283FB5A8">
        <w:tblPrEx>
          <w:tblCellMar>
            <w:top w:w="0" w:type="dxa"/>
            <w:left w:w="108" w:type="dxa"/>
            <w:bottom w:w="0" w:type="dxa"/>
            <w:right w:w="108" w:type="dxa"/>
          </w:tblCellMar>
        </w:tblPrEx>
        <w:trPr>
          <w:trHeight w:val="522" w:hRule="atLeast"/>
          <w:jc w:val="center"/>
        </w:trPr>
        <w:tc>
          <w:tcPr>
            <w:tcW w:w="462" w:type="pct"/>
            <w:vMerge w:val="continue"/>
            <w:tcBorders>
              <w:left w:val="single" w:color="auto" w:sz="4" w:space="0"/>
              <w:right w:val="single" w:color="auto" w:sz="4" w:space="0"/>
            </w:tcBorders>
            <w:vAlign w:val="center"/>
          </w:tcPr>
          <w:p w14:paraId="1C75EE6E">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7348A9B4">
            <w:pPr>
              <w:rPr>
                <w:rFonts w:hint="eastAsia" w:eastAsia="宋体"/>
                <w:lang w:eastAsia="zh-CN"/>
              </w:rPr>
            </w:pPr>
            <w:r>
              <w:rPr>
                <w:rFonts w:hint="eastAsia"/>
                <w:color w:val="333333"/>
              </w:rPr>
              <w:t>4.5</w:t>
            </w:r>
            <w:r>
              <w:rPr>
                <w:rFonts w:hint="eastAsia"/>
              </w:rPr>
              <w:t>格子售货机设备应支持顾客按照指定格子货道选货购物功能</w:t>
            </w:r>
            <w:r>
              <w:rPr>
                <w:rFonts w:hint="eastAsia"/>
                <w:lang w:eastAsia="zh-CN"/>
              </w:rPr>
              <w:t>，</w:t>
            </w:r>
            <w:bookmarkStart w:id="2" w:name="OLE_LINK1"/>
            <w:r>
              <w:rPr>
                <w:rFonts w:hint="eastAsia"/>
              </w:rPr>
              <w:t>推杆式售货机必须具备升降功能，避免商品出货破损。</w:t>
            </w:r>
            <w:bookmarkEnd w:id="2"/>
          </w:p>
        </w:tc>
        <w:tc>
          <w:tcPr>
            <w:tcW w:w="768" w:type="pct"/>
            <w:vMerge w:val="continue"/>
            <w:tcBorders>
              <w:left w:val="nil"/>
              <w:right w:val="single" w:color="auto" w:sz="4" w:space="0"/>
            </w:tcBorders>
            <w:shd w:val="clear" w:color="auto" w:fill="auto"/>
            <w:noWrap/>
            <w:vAlign w:val="center"/>
          </w:tcPr>
          <w:p w14:paraId="45A363FD">
            <w:pPr>
              <w:rPr>
                <w:rFonts w:hint="eastAsia"/>
              </w:rPr>
            </w:pPr>
          </w:p>
        </w:tc>
      </w:tr>
      <w:tr w14:paraId="3B107D20">
        <w:tblPrEx>
          <w:tblCellMar>
            <w:top w:w="0" w:type="dxa"/>
            <w:left w:w="108" w:type="dxa"/>
            <w:bottom w:w="0" w:type="dxa"/>
            <w:right w:w="108" w:type="dxa"/>
          </w:tblCellMar>
        </w:tblPrEx>
        <w:trPr>
          <w:trHeight w:val="1024" w:hRule="atLeast"/>
          <w:jc w:val="center"/>
        </w:trPr>
        <w:tc>
          <w:tcPr>
            <w:tcW w:w="462" w:type="pct"/>
            <w:vMerge w:val="continue"/>
            <w:tcBorders>
              <w:left w:val="single" w:color="auto" w:sz="4" w:space="0"/>
              <w:right w:val="single" w:color="auto" w:sz="4" w:space="0"/>
            </w:tcBorders>
            <w:vAlign w:val="center"/>
          </w:tcPr>
          <w:p w14:paraId="60D71331">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36081A5D">
            <w:pPr>
              <w:rPr>
                <w:rFonts w:hint="eastAsia"/>
              </w:rPr>
            </w:pPr>
            <w:r>
              <w:rPr>
                <w:rFonts w:hint="eastAsia"/>
                <w:color w:val="333333"/>
              </w:rPr>
              <w:t>4.6</w:t>
            </w:r>
            <w:r>
              <w:rPr>
                <w:rFonts w:hint="eastAsia"/>
              </w:rPr>
              <w:t>售货机设备（格子机）应自带节能以及防虫功能，待机时格子指示灯熄灭，购物时开启，可降低能耗，又减少蚊、虫侵袭。</w:t>
            </w:r>
          </w:p>
        </w:tc>
        <w:tc>
          <w:tcPr>
            <w:tcW w:w="768" w:type="pct"/>
            <w:vMerge w:val="continue"/>
            <w:tcBorders>
              <w:left w:val="nil"/>
              <w:right w:val="single" w:color="auto" w:sz="4" w:space="0"/>
            </w:tcBorders>
            <w:shd w:val="clear" w:color="auto" w:fill="auto"/>
            <w:noWrap/>
            <w:vAlign w:val="center"/>
          </w:tcPr>
          <w:p w14:paraId="6FE83A46">
            <w:pPr>
              <w:rPr>
                <w:rFonts w:hint="eastAsia"/>
              </w:rPr>
            </w:pPr>
          </w:p>
        </w:tc>
      </w:tr>
      <w:tr w14:paraId="12B40AD2">
        <w:tblPrEx>
          <w:tblCellMar>
            <w:top w:w="0" w:type="dxa"/>
            <w:left w:w="108" w:type="dxa"/>
            <w:bottom w:w="0" w:type="dxa"/>
            <w:right w:w="108" w:type="dxa"/>
          </w:tblCellMar>
        </w:tblPrEx>
        <w:trPr>
          <w:trHeight w:val="522" w:hRule="atLeast"/>
          <w:jc w:val="center"/>
        </w:trPr>
        <w:tc>
          <w:tcPr>
            <w:tcW w:w="462" w:type="pct"/>
            <w:vMerge w:val="continue"/>
            <w:tcBorders>
              <w:left w:val="single" w:color="auto" w:sz="4" w:space="0"/>
              <w:right w:val="single" w:color="auto" w:sz="4" w:space="0"/>
            </w:tcBorders>
            <w:vAlign w:val="center"/>
          </w:tcPr>
          <w:p w14:paraId="029D0B79">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5DCDC213">
            <w:pPr>
              <w:rPr>
                <w:rFonts w:hint="eastAsia"/>
              </w:rPr>
            </w:pPr>
            <w:r>
              <w:rPr>
                <w:rFonts w:hint="eastAsia"/>
                <w:color w:val="333333"/>
              </w:rPr>
              <w:t>4.7</w:t>
            </w:r>
            <w:r>
              <w:rPr>
                <w:rFonts w:hint="eastAsia"/>
              </w:rPr>
              <w:t>售货机设备应支持优惠码购物功能，支持顾客购物打折优惠功能</w:t>
            </w:r>
          </w:p>
        </w:tc>
        <w:tc>
          <w:tcPr>
            <w:tcW w:w="768" w:type="pct"/>
            <w:vMerge w:val="continue"/>
            <w:tcBorders>
              <w:left w:val="nil"/>
              <w:right w:val="single" w:color="auto" w:sz="4" w:space="0"/>
            </w:tcBorders>
            <w:shd w:val="clear" w:color="auto" w:fill="auto"/>
            <w:noWrap/>
            <w:vAlign w:val="center"/>
          </w:tcPr>
          <w:p w14:paraId="399B37AF">
            <w:pPr>
              <w:rPr>
                <w:rFonts w:hint="eastAsia"/>
              </w:rPr>
            </w:pPr>
          </w:p>
        </w:tc>
      </w:tr>
      <w:tr w14:paraId="64E02ECA">
        <w:tblPrEx>
          <w:tblCellMar>
            <w:top w:w="0" w:type="dxa"/>
            <w:left w:w="108" w:type="dxa"/>
            <w:bottom w:w="0" w:type="dxa"/>
            <w:right w:w="108" w:type="dxa"/>
          </w:tblCellMar>
        </w:tblPrEx>
        <w:trPr>
          <w:trHeight w:val="2130" w:hRule="atLeast"/>
          <w:jc w:val="center"/>
        </w:trPr>
        <w:tc>
          <w:tcPr>
            <w:tcW w:w="462" w:type="pct"/>
            <w:vMerge w:val="continue"/>
            <w:tcBorders>
              <w:left w:val="single" w:color="auto" w:sz="4" w:space="0"/>
              <w:right w:val="single" w:color="auto" w:sz="4" w:space="0"/>
            </w:tcBorders>
            <w:vAlign w:val="center"/>
          </w:tcPr>
          <w:p w14:paraId="0B8299A2">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2C4C892F">
            <w:pPr>
              <w:rPr>
                <w:rFonts w:hint="eastAsia"/>
              </w:rPr>
            </w:pPr>
            <w:r>
              <w:rPr>
                <w:rFonts w:hint="eastAsia"/>
                <w:color w:val="333333"/>
              </w:rPr>
              <w:t>4.8</w:t>
            </w:r>
            <w:r>
              <w:rPr>
                <w:rFonts w:hint="eastAsia"/>
              </w:rPr>
              <w:t>售货机设备支持为顾客提供电子或者纸质凭证，凭证内容必须包含“产品名称、型号、规格、生产企业名称、注册证编号或者备案编号、生产批号、数量、单价、金额，零售企业名称、经营地址、电话、销售日期”等全部内容，以方便进行质量追溯，并且顾客能通过小程序查看包含上述完整内容的电子销售凭证。</w:t>
            </w:r>
          </w:p>
        </w:tc>
        <w:tc>
          <w:tcPr>
            <w:tcW w:w="768" w:type="pct"/>
            <w:vMerge w:val="continue"/>
            <w:tcBorders>
              <w:left w:val="nil"/>
              <w:right w:val="single" w:color="auto" w:sz="4" w:space="0"/>
            </w:tcBorders>
            <w:shd w:val="clear" w:color="auto" w:fill="auto"/>
            <w:noWrap/>
            <w:vAlign w:val="center"/>
          </w:tcPr>
          <w:p w14:paraId="0F37A5CC">
            <w:pPr>
              <w:rPr>
                <w:rFonts w:hint="eastAsia"/>
              </w:rPr>
            </w:pPr>
          </w:p>
        </w:tc>
      </w:tr>
      <w:tr w14:paraId="2DBFBAC9">
        <w:tblPrEx>
          <w:tblCellMar>
            <w:top w:w="0" w:type="dxa"/>
            <w:left w:w="108" w:type="dxa"/>
            <w:bottom w:w="0" w:type="dxa"/>
            <w:right w:w="108" w:type="dxa"/>
          </w:tblCellMar>
        </w:tblPrEx>
        <w:trPr>
          <w:trHeight w:val="1476" w:hRule="atLeast"/>
          <w:jc w:val="center"/>
        </w:trPr>
        <w:tc>
          <w:tcPr>
            <w:tcW w:w="462" w:type="pct"/>
            <w:vMerge w:val="continue"/>
            <w:tcBorders>
              <w:left w:val="single" w:color="auto" w:sz="4" w:space="0"/>
              <w:right w:val="single" w:color="auto" w:sz="4" w:space="0"/>
            </w:tcBorders>
            <w:vAlign w:val="center"/>
          </w:tcPr>
          <w:p w14:paraId="076FF79E">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6D7B2204">
            <w:pPr>
              <w:rPr>
                <w:rFonts w:hint="eastAsia"/>
              </w:rPr>
            </w:pPr>
            <w:r>
              <w:rPr>
                <w:rFonts w:hint="eastAsia"/>
                <w:color w:val="333333"/>
              </w:rPr>
              <w:t>4.9</w:t>
            </w:r>
            <w:r>
              <w:rPr>
                <w:rFonts w:hint="eastAsia"/>
              </w:rPr>
              <w:t>售货机设备必须支持顾客小程序端购买，顾客在购物后离开售货机设备依旧可以通过小程序端，查看之前全部购买商品信息内容，并找到售后服务电话，以便售货机运营商做好售后服务。</w:t>
            </w:r>
          </w:p>
        </w:tc>
        <w:tc>
          <w:tcPr>
            <w:tcW w:w="768" w:type="pct"/>
            <w:vMerge w:val="continue"/>
            <w:tcBorders>
              <w:left w:val="nil"/>
              <w:right w:val="single" w:color="auto" w:sz="4" w:space="0"/>
            </w:tcBorders>
            <w:shd w:val="clear" w:color="auto" w:fill="auto"/>
            <w:noWrap/>
            <w:vAlign w:val="center"/>
          </w:tcPr>
          <w:p w14:paraId="27D4E772">
            <w:pPr>
              <w:rPr>
                <w:rFonts w:hint="eastAsia"/>
              </w:rPr>
            </w:pPr>
          </w:p>
        </w:tc>
      </w:tr>
      <w:tr w14:paraId="1D79969D">
        <w:tblPrEx>
          <w:tblCellMar>
            <w:top w:w="0" w:type="dxa"/>
            <w:left w:w="108" w:type="dxa"/>
            <w:bottom w:w="0" w:type="dxa"/>
            <w:right w:w="108" w:type="dxa"/>
          </w:tblCellMar>
        </w:tblPrEx>
        <w:trPr>
          <w:trHeight w:val="522" w:hRule="atLeast"/>
          <w:jc w:val="center"/>
        </w:trPr>
        <w:tc>
          <w:tcPr>
            <w:tcW w:w="462" w:type="pct"/>
            <w:vMerge w:val="continue"/>
            <w:tcBorders>
              <w:left w:val="single" w:color="auto" w:sz="4" w:space="0"/>
              <w:right w:val="single" w:color="auto" w:sz="4" w:space="0"/>
            </w:tcBorders>
            <w:vAlign w:val="center"/>
          </w:tcPr>
          <w:p w14:paraId="245206BE">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79D97BEA">
            <w:pPr>
              <w:rPr>
                <w:rFonts w:hint="eastAsia"/>
              </w:rPr>
            </w:pPr>
            <w:r>
              <w:rPr>
                <w:rFonts w:hint="eastAsia"/>
                <w:color w:val="333333"/>
              </w:rPr>
              <w:t>4.10</w:t>
            </w:r>
            <w:r>
              <w:rPr>
                <w:rFonts w:hint="eastAsia"/>
              </w:rPr>
              <w:t>售货机系统需支持手机端进行补货、开门等功能，同时应支持商品批号批量录入管理功能</w:t>
            </w:r>
            <w:r>
              <w:rPr>
                <w:rFonts w:hint="eastAsia"/>
                <w:lang w:eastAsia="zh-CN"/>
              </w:rPr>
              <w:t>。</w:t>
            </w:r>
          </w:p>
        </w:tc>
        <w:tc>
          <w:tcPr>
            <w:tcW w:w="768" w:type="pct"/>
            <w:vMerge w:val="continue"/>
            <w:tcBorders>
              <w:left w:val="nil"/>
              <w:right w:val="single" w:color="auto" w:sz="4" w:space="0"/>
            </w:tcBorders>
            <w:shd w:val="clear" w:color="auto" w:fill="auto"/>
            <w:noWrap/>
            <w:vAlign w:val="center"/>
          </w:tcPr>
          <w:p w14:paraId="2773B87F">
            <w:pPr>
              <w:rPr>
                <w:rFonts w:hint="eastAsia"/>
              </w:rPr>
            </w:pPr>
          </w:p>
        </w:tc>
      </w:tr>
      <w:tr w14:paraId="32780A05">
        <w:tblPrEx>
          <w:tblCellMar>
            <w:top w:w="0" w:type="dxa"/>
            <w:left w:w="108" w:type="dxa"/>
            <w:bottom w:w="0" w:type="dxa"/>
            <w:right w:w="108" w:type="dxa"/>
          </w:tblCellMar>
        </w:tblPrEx>
        <w:trPr>
          <w:trHeight w:val="1050" w:hRule="atLeast"/>
          <w:jc w:val="center"/>
        </w:trPr>
        <w:tc>
          <w:tcPr>
            <w:tcW w:w="462" w:type="pct"/>
            <w:vMerge w:val="continue"/>
            <w:tcBorders>
              <w:left w:val="single" w:color="auto" w:sz="4" w:space="0"/>
              <w:bottom w:val="single" w:color="000000" w:sz="4" w:space="0"/>
              <w:right w:val="single" w:color="auto" w:sz="4" w:space="0"/>
            </w:tcBorders>
            <w:vAlign w:val="center"/>
          </w:tcPr>
          <w:p w14:paraId="71015DAF">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5C73E8A0">
            <w:pPr>
              <w:rPr>
                <w:rFonts w:hint="eastAsia"/>
              </w:rPr>
            </w:pPr>
            <w:r>
              <w:rPr>
                <w:rFonts w:hint="eastAsia"/>
              </w:rPr>
              <w:t>上述技术参数每缺一项扣</w:t>
            </w:r>
            <w:r>
              <w:rPr>
                <w:rFonts w:hint="eastAsia"/>
                <w:lang w:val="en-US" w:eastAsia="zh-CN"/>
              </w:rPr>
              <w:t>2</w:t>
            </w:r>
            <w:r>
              <w:rPr>
                <w:rFonts w:hint="eastAsia"/>
              </w:rPr>
              <w:t>分，扣完为止。须提供相应图片或者视频资料，如有可能需要登录后台系统或者实物验证确定。</w:t>
            </w:r>
          </w:p>
        </w:tc>
        <w:tc>
          <w:tcPr>
            <w:tcW w:w="768" w:type="pct"/>
            <w:vMerge w:val="continue"/>
            <w:tcBorders>
              <w:left w:val="nil"/>
              <w:bottom w:val="single" w:color="auto" w:sz="4" w:space="0"/>
              <w:right w:val="single" w:color="auto" w:sz="4" w:space="0"/>
            </w:tcBorders>
            <w:shd w:val="clear" w:color="auto" w:fill="auto"/>
            <w:noWrap/>
            <w:vAlign w:val="center"/>
          </w:tcPr>
          <w:p w14:paraId="65B02B3F">
            <w:pPr>
              <w:rPr>
                <w:rFonts w:hint="eastAsia"/>
              </w:rPr>
            </w:pPr>
          </w:p>
        </w:tc>
      </w:tr>
      <w:tr w14:paraId="6AE7239F">
        <w:tblPrEx>
          <w:tblCellMar>
            <w:top w:w="0" w:type="dxa"/>
            <w:left w:w="108" w:type="dxa"/>
            <w:bottom w:w="0" w:type="dxa"/>
            <w:right w:w="108" w:type="dxa"/>
          </w:tblCellMar>
        </w:tblPrEx>
        <w:trPr>
          <w:trHeight w:val="522" w:hRule="atLeast"/>
          <w:jc w:val="center"/>
        </w:trPr>
        <w:tc>
          <w:tcPr>
            <w:tcW w:w="462" w:type="pct"/>
            <w:vMerge w:val="restart"/>
            <w:tcBorders>
              <w:left w:val="single" w:color="auto" w:sz="4" w:space="0"/>
              <w:right w:val="single" w:color="auto" w:sz="4" w:space="0"/>
            </w:tcBorders>
            <w:vAlign w:val="center"/>
          </w:tcPr>
          <w:p w14:paraId="42253E81">
            <w:pPr>
              <w:rPr>
                <w:rFonts w:hint="eastAsia"/>
              </w:rPr>
            </w:pPr>
            <w:r>
              <w:rPr>
                <w:rFonts w:hint="eastAsia"/>
              </w:rPr>
              <w:t>5</w:t>
            </w:r>
          </w:p>
        </w:tc>
        <w:tc>
          <w:tcPr>
            <w:tcW w:w="4537" w:type="pct"/>
            <w:gridSpan w:val="2"/>
            <w:tcBorders>
              <w:top w:val="single" w:color="auto" w:sz="4" w:space="0"/>
              <w:left w:val="nil"/>
              <w:bottom w:val="single" w:color="auto" w:sz="4" w:space="0"/>
              <w:right w:val="single" w:color="auto" w:sz="4" w:space="0"/>
            </w:tcBorders>
            <w:shd w:val="clear" w:color="auto" w:fill="auto"/>
            <w:vAlign w:val="center"/>
          </w:tcPr>
          <w:p w14:paraId="29DBA8CA">
            <w:pPr>
              <w:rPr>
                <w:rFonts w:hint="eastAsia"/>
              </w:rPr>
            </w:pPr>
            <w:r>
              <w:rPr>
                <w:rFonts w:hint="eastAsia"/>
              </w:rPr>
              <w:t>五、供应商综合实力评分细则（总计</w:t>
            </w:r>
            <w:r>
              <w:rPr>
                <w:rFonts w:hint="eastAsia"/>
                <w:lang w:val="en-US" w:eastAsia="zh-CN"/>
              </w:rPr>
              <w:t>1</w:t>
            </w:r>
            <w:r>
              <w:rPr>
                <w:rFonts w:hint="eastAsia"/>
              </w:rPr>
              <w:t>0分）</w:t>
            </w:r>
          </w:p>
        </w:tc>
      </w:tr>
      <w:tr w14:paraId="3D5B22C7">
        <w:tblPrEx>
          <w:tblCellMar>
            <w:top w:w="0" w:type="dxa"/>
            <w:left w:w="108" w:type="dxa"/>
            <w:bottom w:w="0" w:type="dxa"/>
            <w:right w:w="108" w:type="dxa"/>
          </w:tblCellMar>
        </w:tblPrEx>
        <w:trPr>
          <w:trHeight w:val="1476" w:hRule="atLeast"/>
          <w:jc w:val="center"/>
        </w:trPr>
        <w:tc>
          <w:tcPr>
            <w:tcW w:w="462" w:type="pct"/>
            <w:vMerge w:val="continue"/>
            <w:tcBorders>
              <w:left w:val="single" w:color="auto" w:sz="4" w:space="0"/>
              <w:right w:val="single" w:color="auto" w:sz="4" w:space="0"/>
            </w:tcBorders>
            <w:vAlign w:val="center"/>
          </w:tcPr>
          <w:p w14:paraId="42AC8DB2">
            <w:pPr>
              <w:rPr>
                <w:rFonts w:hint="eastAsia"/>
              </w:rPr>
            </w:pPr>
          </w:p>
        </w:tc>
        <w:tc>
          <w:tcPr>
            <w:tcW w:w="3768" w:type="pct"/>
            <w:tcBorders>
              <w:top w:val="single" w:color="auto" w:sz="4" w:space="0"/>
              <w:left w:val="nil"/>
              <w:bottom w:val="single" w:color="auto" w:sz="4" w:space="0"/>
              <w:right w:val="single" w:color="auto" w:sz="4" w:space="0"/>
            </w:tcBorders>
            <w:shd w:val="clear" w:color="auto" w:fill="auto"/>
            <w:vAlign w:val="center"/>
          </w:tcPr>
          <w:p w14:paraId="70C4B589">
            <w:pPr>
              <w:rPr>
                <w:rFonts w:hint="eastAsia"/>
              </w:rPr>
            </w:pPr>
            <w:r>
              <w:rPr>
                <w:rFonts w:hint="eastAsia"/>
              </w:rPr>
              <w:t>5.1信息安全等级保护备案证明：按照《信息安全等级保护管理办法》要求，供应商需要提供《信息安全等级保护备案证明》（二级以及以上），备案证明所有人必须为供应商或授权给供应商的售货机生产企业所有。提供得</w:t>
            </w:r>
            <w:r>
              <w:rPr>
                <w:rFonts w:hint="eastAsia"/>
                <w:lang w:val="en-US" w:eastAsia="zh-CN"/>
              </w:rPr>
              <w:t>2.5</w:t>
            </w:r>
            <w:r>
              <w:rPr>
                <w:rFonts w:hint="eastAsia"/>
              </w:rPr>
              <w:t>分，不能提供不得分。</w:t>
            </w:r>
          </w:p>
        </w:tc>
        <w:tc>
          <w:tcPr>
            <w:tcW w:w="768" w:type="pct"/>
            <w:vMerge w:val="restart"/>
            <w:tcBorders>
              <w:top w:val="single" w:color="auto" w:sz="4" w:space="0"/>
              <w:left w:val="single" w:color="auto" w:sz="4" w:space="0"/>
              <w:right w:val="single" w:color="auto" w:sz="4" w:space="0"/>
            </w:tcBorders>
            <w:shd w:val="clear" w:color="auto" w:fill="auto"/>
            <w:noWrap/>
            <w:vAlign w:val="center"/>
          </w:tcPr>
          <w:p w14:paraId="45753ABC">
            <w:pPr>
              <w:rPr>
                <w:rFonts w:hint="eastAsia"/>
              </w:rPr>
            </w:pPr>
            <w:r>
              <w:rPr>
                <w:rFonts w:hint="eastAsia"/>
                <w:lang w:val="en-US" w:eastAsia="zh-CN"/>
              </w:rPr>
              <w:t>1</w:t>
            </w:r>
            <w:r>
              <w:rPr>
                <w:rFonts w:hint="eastAsia"/>
              </w:rPr>
              <w:t>0分</w:t>
            </w:r>
          </w:p>
        </w:tc>
      </w:tr>
      <w:tr w14:paraId="7C3F6151">
        <w:tblPrEx>
          <w:tblCellMar>
            <w:top w:w="0" w:type="dxa"/>
            <w:left w:w="108" w:type="dxa"/>
            <w:bottom w:w="0" w:type="dxa"/>
            <w:right w:w="108" w:type="dxa"/>
          </w:tblCellMar>
        </w:tblPrEx>
        <w:trPr>
          <w:trHeight w:val="1965" w:hRule="atLeast"/>
          <w:jc w:val="center"/>
        </w:trPr>
        <w:tc>
          <w:tcPr>
            <w:tcW w:w="462" w:type="pct"/>
            <w:vMerge w:val="continue"/>
            <w:tcBorders>
              <w:left w:val="single" w:color="auto" w:sz="4" w:space="0"/>
              <w:right w:val="single" w:color="auto" w:sz="4" w:space="0"/>
            </w:tcBorders>
            <w:vAlign w:val="center"/>
          </w:tcPr>
          <w:p w14:paraId="5352E1EA">
            <w:pPr>
              <w:rPr>
                <w:rFonts w:hint="eastAsia"/>
              </w:rPr>
            </w:pPr>
          </w:p>
        </w:tc>
        <w:tc>
          <w:tcPr>
            <w:tcW w:w="3768" w:type="pct"/>
            <w:tcBorders>
              <w:top w:val="single" w:color="auto" w:sz="4" w:space="0"/>
              <w:left w:val="nil"/>
              <w:bottom w:val="single" w:color="auto" w:sz="4" w:space="0"/>
              <w:right w:val="single" w:color="auto" w:sz="4" w:space="0"/>
            </w:tcBorders>
            <w:shd w:val="clear" w:color="auto" w:fill="auto"/>
            <w:vAlign w:val="center"/>
          </w:tcPr>
          <w:p w14:paraId="2DB1B423">
            <w:pPr>
              <w:rPr>
                <w:rFonts w:hint="eastAsia"/>
              </w:rPr>
            </w:pPr>
            <w:r>
              <w:rPr>
                <w:rFonts w:hint="eastAsia"/>
              </w:rPr>
              <w:t>5.2用户好评证明资料：供应商提供用户良好评价证明材料（指用户在其自媒体官网的好评介绍或主流媒体的好评介绍，应包含供应商或授权给供应商的售货机品牌产品相关文字或照片内容信息），需提供证明材料截图并附链接网址。每提供一份得0.5分，最多得</w:t>
            </w:r>
            <w:r>
              <w:rPr>
                <w:rFonts w:hint="eastAsia"/>
                <w:lang w:val="en-US" w:eastAsia="zh-CN"/>
              </w:rPr>
              <w:t>2.5</w:t>
            </w:r>
            <w:r>
              <w:rPr>
                <w:rFonts w:hint="eastAsia"/>
              </w:rPr>
              <w:t>分。</w:t>
            </w:r>
          </w:p>
        </w:tc>
        <w:tc>
          <w:tcPr>
            <w:tcW w:w="768" w:type="pct"/>
            <w:vMerge w:val="continue"/>
            <w:tcBorders>
              <w:left w:val="single" w:color="auto" w:sz="4" w:space="0"/>
              <w:right w:val="single" w:color="auto" w:sz="4" w:space="0"/>
            </w:tcBorders>
            <w:shd w:val="clear" w:color="auto" w:fill="auto"/>
            <w:noWrap/>
            <w:vAlign w:val="center"/>
          </w:tcPr>
          <w:p w14:paraId="15586C4C">
            <w:pPr>
              <w:rPr>
                <w:rFonts w:hint="eastAsia"/>
              </w:rPr>
            </w:pPr>
          </w:p>
        </w:tc>
      </w:tr>
      <w:tr w14:paraId="54AEB7BA">
        <w:tblPrEx>
          <w:tblCellMar>
            <w:top w:w="0" w:type="dxa"/>
            <w:left w:w="108" w:type="dxa"/>
            <w:bottom w:w="0" w:type="dxa"/>
            <w:right w:w="108" w:type="dxa"/>
          </w:tblCellMar>
        </w:tblPrEx>
        <w:trPr>
          <w:trHeight w:val="1965" w:hRule="atLeast"/>
          <w:jc w:val="center"/>
        </w:trPr>
        <w:tc>
          <w:tcPr>
            <w:tcW w:w="462" w:type="pct"/>
            <w:vMerge w:val="continue"/>
            <w:tcBorders>
              <w:left w:val="single" w:color="auto" w:sz="4" w:space="0"/>
              <w:right w:val="single" w:color="auto" w:sz="4" w:space="0"/>
            </w:tcBorders>
            <w:vAlign w:val="center"/>
          </w:tcPr>
          <w:p w14:paraId="69836E8A">
            <w:pPr>
              <w:rPr>
                <w:rFonts w:hint="eastAsia"/>
              </w:rPr>
            </w:pPr>
          </w:p>
        </w:tc>
        <w:tc>
          <w:tcPr>
            <w:tcW w:w="3768" w:type="pct"/>
            <w:tcBorders>
              <w:top w:val="single" w:color="auto" w:sz="4" w:space="0"/>
              <w:left w:val="nil"/>
              <w:bottom w:val="single" w:color="auto" w:sz="4" w:space="0"/>
              <w:right w:val="single" w:color="auto" w:sz="4" w:space="0"/>
            </w:tcBorders>
            <w:shd w:val="clear" w:color="auto" w:fill="auto"/>
            <w:vAlign w:val="center"/>
          </w:tcPr>
          <w:p w14:paraId="72348802">
            <w:pPr>
              <w:rPr>
                <w:rFonts w:hint="eastAsia"/>
              </w:rPr>
            </w:pPr>
            <w:r>
              <w:rPr>
                <w:rFonts w:hint="eastAsia"/>
              </w:rPr>
              <w:t>5.3售货机系统应与ERP系统对接：按照药监局相关规定“</w:t>
            </w:r>
            <w:r>
              <w:rPr>
                <w:rFonts w:hint="eastAsia"/>
                <w:shd w:val="clear" w:color="auto" w:fill="FFFFFF"/>
              </w:rPr>
              <w:t>自动</w:t>
            </w:r>
            <w:r>
              <w:rPr>
                <w:rFonts w:hint="eastAsia"/>
                <w:lang w:val="en-US" w:eastAsia="zh-CN"/>
              </w:rPr>
              <w:t>售货</w:t>
            </w:r>
            <w:r>
              <w:rPr>
                <w:rFonts w:hint="eastAsia"/>
                <w:shd w:val="clear" w:color="auto" w:fill="FFFFFF"/>
              </w:rPr>
              <w:t>机实行“一机一号”联网管理，企业计算机系统应能与仓库、设备实时数据对接。</w:t>
            </w:r>
            <w:r>
              <w:rPr>
                <w:shd w:val="clear" w:color="auto" w:fill="FFFFFF"/>
              </w:rPr>
              <w:t>”</w:t>
            </w:r>
            <w:r>
              <w:rPr>
                <w:rFonts w:hint="eastAsia"/>
                <w:shd w:val="clear" w:color="auto" w:fill="FFFFFF"/>
              </w:rPr>
              <w:t>,供应商应提供售货机系统与符合药监规定的医疗器械零售计算机管理系统实现数据对接的证明材料。</w:t>
            </w:r>
            <w:r>
              <w:rPr>
                <w:rFonts w:hint="eastAsia"/>
              </w:rPr>
              <w:t>提供得2.5分，不能提供不得分。</w:t>
            </w:r>
          </w:p>
        </w:tc>
        <w:tc>
          <w:tcPr>
            <w:tcW w:w="768" w:type="pct"/>
            <w:vMerge w:val="continue"/>
            <w:tcBorders>
              <w:left w:val="single" w:color="auto" w:sz="4" w:space="0"/>
              <w:right w:val="single" w:color="auto" w:sz="4" w:space="0"/>
            </w:tcBorders>
            <w:shd w:val="clear" w:color="auto" w:fill="auto"/>
            <w:noWrap/>
            <w:vAlign w:val="center"/>
          </w:tcPr>
          <w:p w14:paraId="6452B9CC">
            <w:pPr>
              <w:rPr>
                <w:rFonts w:hint="eastAsia"/>
              </w:rPr>
            </w:pPr>
          </w:p>
        </w:tc>
      </w:tr>
      <w:tr w14:paraId="63862943">
        <w:tblPrEx>
          <w:tblCellMar>
            <w:top w:w="0" w:type="dxa"/>
            <w:left w:w="108" w:type="dxa"/>
            <w:bottom w:w="0" w:type="dxa"/>
            <w:right w:w="108" w:type="dxa"/>
          </w:tblCellMar>
        </w:tblPrEx>
        <w:trPr>
          <w:trHeight w:val="1476" w:hRule="atLeast"/>
          <w:jc w:val="center"/>
        </w:trPr>
        <w:tc>
          <w:tcPr>
            <w:tcW w:w="462" w:type="pct"/>
            <w:vMerge w:val="continue"/>
            <w:tcBorders>
              <w:left w:val="single" w:color="auto" w:sz="4" w:space="0"/>
              <w:right w:val="single" w:color="auto" w:sz="4" w:space="0"/>
            </w:tcBorders>
            <w:vAlign w:val="center"/>
          </w:tcPr>
          <w:p w14:paraId="311CF74B">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3F47BF81">
            <w:pPr>
              <w:rPr>
                <w:rFonts w:hint="eastAsia"/>
              </w:rPr>
            </w:pPr>
            <w:r>
              <w:rPr>
                <w:rFonts w:hint="eastAsia"/>
              </w:rPr>
              <w:t>5.4 质量管理体系认证：能够提供ISO9001质量管理体系，认证范围包含自动售货机的组装生产以及销售。该证所有人必须为供应商（或授权给供应商的售货机生产企业），提供得2.5分，不能提供不得分。</w:t>
            </w:r>
          </w:p>
        </w:tc>
        <w:tc>
          <w:tcPr>
            <w:tcW w:w="768" w:type="pct"/>
            <w:vMerge w:val="continue"/>
            <w:tcBorders>
              <w:left w:val="single" w:color="auto" w:sz="4" w:space="0"/>
              <w:right w:val="single" w:color="auto" w:sz="4" w:space="0"/>
            </w:tcBorders>
            <w:vAlign w:val="center"/>
          </w:tcPr>
          <w:p w14:paraId="3E8A87BD">
            <w:pPr>
              <w:rPr>
                <w:rFonts w:hint="eastAsia"/>
              </w:rPr>
            </w:pPr>
          </w:p>
        </w:tc>
      </w:tr>
      <w:tr w14:paraId="4FC6842C">
        <w:tblPrEx>
          <w:tblCellMar>
            <w:top w:w="0" w:type="dxa"/>
            <w:left w:w="108" w:type="dxa"/>
            <w:bottom w:w="0" w:type="dxa"/>
            <w:right w:w="108" w:type="dxa"/>
          </w:tblCellMar>
        </w:tblPrEx>
        <w:trPr>
          <w:trHeight w:val="1024" w:hRule="atLeast"/>
          <w:jc w:val="center"/>
        </w:trPr>
        <w:tc>
          <w:tcPr>
            <w:tcW w:w="462" w:type="pct"/>
            <w:vMerge w:val="continue"/>
            <w:tcBorders>
              <w:left w:val="single" w:color="auto" w:sz="4" w:space="0"/>
              <w:bottom w:val="single" w:color="000000" w:sz="4" w:space="0"/>
              <w:right w:val="single" w:color="auto" w:sz="4" w:space="0"/>
            </w:tcBorders>
            <w:vAlign w:val="center"/>
          </w:tcPr>
          <w:p w14:paraId="69E82991">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0A8F99F6">
            <w:pPr>
              <w:rPr>
                <w:rFonts w:hint="eastAsia"/>
              </w:rPr>
            </w:pPr>
            <w:r>
              <w:rPr>
                <w:rFonts w:hint="eastAsia"/>
              </w:rPr>
              <w:t>上述证书（报告）必须为供应商所有，若为品牌代理商投标，则需提供</w:t>
            </w:r>
            <w:r>
              <w:rPr>
                <w:rFonts w:hint="eastAsia"/>
                <w:lang w:val="en-US" w:eastAsia="zh-CN"/>
              </w:rPr>
              <w:t>售货</w:t>
            </w:r>
            <w:r>
              <w:rPr>
                <w:rFonts w:hint="eastAsia"/>
              </w:rPr>
              <w:t>机生产企业的授权书。</w:t>
            </w:r>
          </w:p>
        </w:tc>
        <w:tc>
          <w:tcPr>
            <w:tcW w:w="768" w:type="pct"/>
            <w:vMerge w:val="continue"/>
            <w:tcBorders>
              <w:left w:val="single" w:color="auto" w:sz="4" w:space="0"/>
              <w:bottom w:val="single" w:color="000000" w:sz="4" w:space="0"/>
              <w:right w:val="single" w:color="auto" w:sz="4" w:space="0"/>
            </w:tcBorders>
            <w:vAlign w:val="center"/>
          </w:tcPr>
          <w:p w14:paraId="421236A1">
            <w:pPr>
              <w:rPr>
                <w:rFonts w:hint="eastAsia"/>
              </w:rPr>
            </w:pPr>
          </w:p>
        </w:tc>
      </w:tr>
      <w:tr w14:paraId="121B8EB3">
        <w:tblPrEx>
          <w:tblCellMar>
            <w:top w:w="0" w:type="dxa"/>
            <w:left w:w="108" w:type="dxa"/>
            <w:bottom w:w="0" w:type="dxa"/>
            <w:right w:w="108" w:type="dxa"/>
          </w:tblCellMar>
        </w:tblPrEx>
        <w:trPr>
          <w:trHeight w:val="522" w:hRule="atLeast"/>
          <w:jc w:val="center"/>
        </w:trPr>
        <w:tc>
          <w:tcPr>
            <w:tcW w:w="462" w:type="pct"/>
            <w:vMerge w:val="restart"/>
            <w:tcBorders>
              <w:top w:val="nil"/>
              <w:left w:val="single" w:color="auto" w:sz="4" w:space="0"/>
              <w:bottom w:val="single" w:color="000000" w:sz="4" w:space="0"/>
              <w:right w:val="single" w:color="auto" w:sz="4" w:space="0"/>
            </w:tcBorders>
            <w:shd w:val="clear" w:color="auto" w:fill="auto"/>
            <w:noWrap/>
            <w:vAlign w:val="center"/>
          </w:tcPr>
          <w:p w14:paraId="0DC962FB">
            <w:pPr>
              <w:rPr>
                <w:rFonts w:hint="eastAsia"/>
              </w:rPr>
            </w:pPr>
            <w:r>
              <w:rPr>
                <w:rFonts w:hint="eastAsia"/>
              </w:rPr>
              <w:t>6</w:t>
            </w:r>
          </w:p>
        </w:tc>
        <w:tc>
          <w:tcPr>
            <w:tcW w:w="4537" w:type="pct"/>
            <w:gridSpan w:val="2"/>
            <w:tcBorders>
              <w:top w:val="single" w:color="auto" w:sz="4" w:space="0"/>
              <w:left w:val="nil"/>
              <w:bottom w:val="single" w:color="auto" w:sz="4" w:space="0"/>
              <w:right w:val="single" w:color="000000" w:sz="4" w:space="0"/>
            </w:tcBorders>
            <w:shd w:val="clear" w:color="auto" w:fill="auto"/>
            <w:vAlign w:val="center"/>
          </w:tcPr>
          <w:p w14:paraId="01E6E63E">
            <w:pPr>
              <w:rPr>
                <w:rFonts w:hint="eastAsia"/>
              </w:rPr>
            </w:pPr>
            <w:r>
              <w:rPr>
                <w:rFonts w:hint="eastAsia"/>
              </w:rPr>
              <w:t>6、报价评分细则（总计</w:t>
            </w:r>
            <w:r>
              <w:rPr>
                <w:rFonts w:hint="eastAsia"/>
                <w:lang w:val="en-US" w:eastAsia="zh-CN"/>
              </w:rPr>
              <w:t>50</w:t>
            </w:r>
            <w:r>
              <w:rPr>
                <w:rFonts w:hint="eastAsia"/>
              </w:rPr>
              <w:t>分）</w:t>
            </w:r>
          </w:p>
        </w:tc>
      </w:tr>
      <w:tr w14:paraId="2B34E06B">
        <w:tblPrEx>
          <w:tblCellMar>
            <w:top w:w="0" w:type="dxa"/>
            <w:left w:w="108" w:type="dxa"/>
            <w:bottom w:w="0" w:type="dxa"/>
            <w:right w:w="108" w:type="dxa"/>
          </w:tblCellMar>
        </w:tblPrEx>
        <w:trPr>
          <w:trHeight w:val="522" w:hRule="atLeast"/>
          <w:jc w:val="center"/>
        </w:trPr>
        <w:tc>
          <w:tcPr>
            <w:tcW w:w="462" w:type="pct"/>
            <w:vMerge w:val="continue"/>
            <w:tcBorders>
              <w:top w:val="nil"/>
              <w:left w:val="single" w:color="auto" w:sz="4" w:space="0"/>
              <w:bottom w:val="single" w:color="000000" w:sz="4" w:space="0"/>
              <w:right w:val="single" w:color="auto" w:sz="4" w:space="0"/>
            </w:tcBorders>
            <w:vAlign w:val="center"/>
          </w:tcPr>
          <w:p w14:paraId="463E2905">
            <w:pPr>
              <w:rPr>
                <w:rFonts w:hint="eastAsia"/>
              </w:rPr>
            </w:pPr>
          </w:p>
        </w:tc>
        <w:tc>
          <w:tcPr>
            <w:tcW w:w="3768" w:type="pct"/>
            <w:tcBorders>
              <w:top w:val="nil"/>
              <w:left w:val="nil"/>
              <w:bottom w:val="single" w:color="auto" w:sz="4" w:space="0"/>
              <w:right w:val="single" w:color="auto" w:sz="4" w:space="0"/>
            </w:tcBorders>
            <w:shd w:val="clear" w:color="auto" w:fill="auto"/>
            <w:vAlign w:val="center"/>
          </w:tcPr>
          <w:p w14:paraId="59B873F0">
            <w:pPr>
              <w:rPr>
                <w:rFonts w:hint="eastAsia"/>
              </w:rPr>
            </w:pPr>
            <w:r>
              <w:rPr>
                <w:rFonts w:hint="eastAsia"/>
              </w:rPr>
              <w:t>投标报价得分 =</w:t>
            </w:r>
            <w:r>
              <w:rPr>
                <w:rFonts w:hint="eastAsia"/>
                <w:lang w:val="en-US" w:eastAsia="zh-CN"/>
              </w:rPr>
              <w:t>5</w:t>
            </w:r>
            <w:r>
              <w:rPr>
                <w:rFonts w:hint="eastAsia"/>
              </w:rPr>
              <w:t>0×(有效报价÷最高有效报价)</w:t>
            </w:r>
          </w:p>
        </w:tc>
        <w:tc>
          <w:tcPr>
            <w:tcW w:w="768" w:type="pct"/>
            <w:tcBorders>
              <w:top w:val="nil"/>
              <w:left w:val="nil"/>
              <w:bottom w:val="single" w:color="auto" w:sz="4" w:space="0"/>
              <w:right w:val="single" w:color="auto" w:sz="4" w:space="0"/>
            </w:tcBorders>
            <w:shd w:val="clear" w:color="auto" w:fill="auto"/>
            <w:noWrap/>
            <w:vAlign w:val="center"/>
          </w:tcPr>
          <w:p w14:paraId="1444B733">
            <w:pPr>
              <w:rPr>
                <w:rFonts w:hint="default" w:eastAsiaTheme="minorEastAsia"/>
                <w:lang w:val="en-US" w:eastAsia="zh-CN"/>
              </w:rPr>
            </w:pPr>
            <w:r>
              <w:rPr>
                <w:rFonts w:hint="eastAsia"/>
                <w:lang w:val="en-US" w:eastAsia="zh-CN"/>
              </w:rPr>
              <w:t>50</w:t>
            </w:r>
          </w:p>
        </w:tc>
      </w:tr>
      <w:tr w14:paraId="50110016">
        <w:tblPrEx>
          <w:tblCellMar>
            <w:top w:w="0" w:type="dxa"/>
            <w:left w:w="108" w:type="dxa"/>
            <w:bottom w:w="0" w:type="dxa"/>
            <w:right w:w="108" w:type="dxa"/>
          </w:tblCellMar>
        </w:tblPrEx>
        <w:trPr>
          <w:trHeight w:val="522"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69227E3">
            <w:pPr>
              <w:rPr>
                <w:rFonts w:hint="eastAsia"/>
              </w:rPr>
            </w:pPr>
            <w:r>
              <w:rPr>
                <w:rFonts w:hint="eastAsia"/>
              </w:rPr>
              <w:t xml:space="preserve">综合得分计算规则：供应商最后综合得分=运营方案得分+售后服务得分+业绩案例+设备技术参数+供应商综合实力+报价 </w:t>
            </w:r>
          </w:p>
        </w:tc>
      </w:tr>
    </w:tbl>
    <w:p w14:paraId="07818709">
      <w:pPr>
        <w:numPr>
          <w:ilvl w:val="0"/>
          <w:numId w:val="0"/>
        </w:numPr>
      </w:pPr>
    </w:p>
    <w:p w14:paraId="544EC928">
      <w:pPr>
        <w:pStyle w:val="19"/>
      </w:pPr>
    </w:p>
    <w:p w14:paraId="08390199">
      <w:pPr>
        <w:pStyle w:val="4"/>
      </w:pPr>
      <w:r>
        <w:t>三、废标情形</w:t>
      </w:r>
    </w:p>
    <w:p w14:paraId="0A126F6E">
      <w:pPr>
        <w:pStyle w:val="19"/>
      </w:pPr>
      <w:r>
        <w:t>出现以下情形之一的，评标小组有权将其投标文件按废标处理：</w:t>
      </w:r>
    </w:p>
    <w:p w14:paraId="31598AFB">
      <w:pPr>
        <w:pStyle w:val="19"/>
        <w:numPr>
          <w:ilvl w:val="0"/>
          <w:numId w:val="0"/>
        </w:numPr>
        <w:ind w:leftChars="0"/>
        <w:rPr>
          <w:color w:val="auto"/>
        </w:rPr>
      </w:pPr>
      <w:r>
        <w:rPr>
          <w:rFonts w:hint="eastAsia"/>
          <w:color w:val="auto"/>
          <w:lang w:val="en-US" w:eastAsia="zh-CN"/>
        </w:rPr>
        <w:t>1.</w:t>
      </w:r>
      <w:r>
        <w:rPr>
          <w:color w:val="auto"/>
        </w:rPr>
        <w:t>投标人资格不符合招标文件要求的；</w:t>
      </w:r>
    </w:p>
    <w:p w14:paraId="21990250">
      <w:pPr>
        <w:pStyle w:val="19"/>
        <w:numPr>
          <w:ilvl w:val="0"/>
          <w:numId w:val="0"/>
        </w:numPr>
        <w:ind w:leftChars="0"/>
        <w:rPr>
          <w:color w:val="auto"/>
        </w:rPr>
      </w:pPr>
      <w:r>
        <w:rPr>
          <w:rFonts w:hint="eastAsia"/>
          <w:color w:val="auto"/>
          <w:lang w:val="en-US" w:eastAsia="zh-CN"/>
        </w:rPr>
        <w:t>2.</w:t>
      </w:r>
      <w:r>
        <w:rPr>
          <w:color w:val="auto"/>
        </w:rPr>
        <w:t>投标文件未按要求密封、签字盖章不全的；</w:t>
      </w:r>
    </w:p>
    <w:p w14:paraId="72483AC3">
      <w:pPr>
        <w:pStyle w:val="19"/>
        <w:numPr>
          <w:ilvl w:val="0"/>
          <w:numId w:val="0"/>
        </w:numPr>
        <w:ind w:leftChars="0"/>
        <w:rPr>
          <w:color w:val="auto"/>
        </w:rPr>
      </w:pPr>
      <w:r>
        <w:rPr>
          <w:rFonts w:hint="eastAsia"/>
          <w:color w:val="auto"/>
          <w:lang w:val="en-US" w:eastAsia="zh-CN"/>
        </w:rPr>
        <w:t>3.</w:t>
      </w:r>
      <w:r>
        <w:rPr>
          <w:color w:val="auto"/>
        </w:rPr>
        <w:t>投标报价低于招标人设定的底价，或报价明显不合理的；</w:t>
      </w:r>
    </w:p>
    <w:p w14:paraId="6672D7B7">
      <w:pPr>
        <w:pStyle w:val="19"/>
        <w:numPr>
          <w:ilvl w:val="0"/>
          <w:numId w:val="0"/>
        </w:numPr>
        <w:ind w:leftChars="0"/>
        <w:rPr>
          <w:rFonts w:hint="eastAsia"/>
          <w:color w:val="auto"/>
          <w:lang w:val="en-US" w:eastAsia="zh-CN"/>
        </w:rPr>
      </w:pPr>
      <w:r>
        <w:rPr>
          <w:rFonts w:hint="eastAsia"/>
          <w:color w:val="auto"/>
          <w:lang w:val="en-US" w:eastAsia="zh-CN"/>
        </w:rPr>
        <w:t>4.投标文件内容虚假、弄虚作假的；</w:t>
      </w:r>
    </w:p>
    <w:p w14:paraId="5B60F099">
      <w:pPr>
        <w:pStyle w:val="19"/>
        <w:numPr>
          <w:ilvl w:val="0"/>
          <w:numId w:val="0"/>
        </w:numPr>
        <w:ind w:leftChars="0"/>
        <w:rPr>
          <w:rFonts w:hint="eastAsia"/>
          <w:color w:val="auto"/>
          <w:lang w:val="en-US" w:eastAsia="zh-CN"/>
        </w:rPr>
      </w:pPr>
      <w:r>
        <w:rPr>
          <w:rFonts w:hint="eastAsia"/>
          <w:color w:val="auto"/>
          <w:lang w:val="en-US" w:eastAsia="zh-CN"/>
        </w:rPr>
        <w:t>5.投标人不响应招标文件的实质性条款的；</w:t>
      </w:r>
    </w:p>
    <w:p w14:paraId="5A5CF299">
      <w:pPr>
        <w:pStyle w:val="19"/>
        <w:numPr>
          <w:ilvl w:val="0"/>
          <w:numId w:val="0"/>
        </w:numPr>
        <w:ind w:leftChars="0"/>
        <w:rPr>
          <w:rFonts w:hint="eastAsia"/>
          <w:color w:val="auto"/>
          <w:lang w:val="en-US" w:eastAsia="zh-CN"/>
        </w:rPr>
      </w:pPr>
      <w:r>
        <w:rPr>
          <w:rFonts w:hint="eastAsia"/>
          <w:color w:val="auto"/>
          <w:lang w:val="en-US" w:eastAsia="zh-CN"/>
        </w:rPr>
        <w:t>6.投标人串通投标、排挤其他投标人的；</w:t>
      </w:r>
    </w:p>
    <w:p w14:paraId="6ADCA11D">
      <w:pPr>
        <w:pStyle w:val="19"/>
        <w:numPr>
          <w:ilvl w:val="0"/>
          <w:numId w:val="0"/>
        </w:numPr>
        <w:ind w:leftChars="0"/>
        <w:rPr>
          <w:color w:val="auto"/>
        </w:rPr>
      </w:pPr>
      <w:r>
        <w:rPr>
          <w:rFonts w:hint="eastAsia"/>
          <w:color w:val="auto"/>
          <w:lang w:val="en-US" w:eastAsia="zh-CN"/>
        </w:rPr>
        <w:t>7.投标人以他人名义投标、或以其他</w:t>
      </w:r>
      <w:r>
        <w:rPr>
          <w:color w:val="auto"/>
        </w:rPr>
        <w:t>方式弄虚作假骗取中标的。</w:t>
      </w:r>
    </w:p>
    <w:p w14:paraId="651B65E8">
      <w:pPr>
        <w:pStyle w:val="4"/>
        <w:rPr>
          <w:color w:val="auto"/>
        </w:rPr>
      </w:pPr>
      <w:r>
        <w:rPr>
          <w:color w:val="auto"/>
        </w:rPr>
        <w:t>四、评标程序</w:t>
      </w:r>
    </w:p>
    <w:p w14:paraId="6CAD05E0">
      <w:pPr>
        <w:pStyle w:val="19"/>
        <w:numPr>
          <w:ilvl w:val="0"/>
          <w:numId w:val="0"/>
        </w:numPr>
        <w:ind w:leftChars="0"/>
      </w:pPr>
      <w:r>
        <w:rPr>
          <w:rFonts w:hint="eastAsia"/>
          <w:lang w:val="en-US" w:eastAsia="zh-CN"/>
        </w:rPr>
        <w:t>1.</w:t>
      </w:r>
      <w:r>
        <w:t>资格审查：评标小组首先对投标人的资格证明文件进行审查，筛选出符合资格要求的投标人。</w:t>
      </w:r>
    </w:p>
    <w:p w14:paraId="79320FF5">
      <w:pPr>
        <w:pStyle w:val="19"/>
        <w:numPr>
          <w:ilvl w:val="0"/>
          <w:numId w:val="0"/>
        </w:numPr>
        <w:ind w:leftChars="0"/>
      </w:pPr>
      <w:r>
        <w:rPr>
          <w:rFonts w:hint="eastAsia"/>
          <w:lang w:val="en-US" w:eastAsia="zh-CN"/>
        </w:rPr>
        <w:t>2.</w:t>
      </w:r>
      <w:r>
        <w:t>符合性审查：对通过资格审查的投标文件进行符合性审查，检查其是否符合招标文件的实质性条款。</w:t>
      </w:r>
    </w:p>
    <w:p w14:paraId="501D56C6">
      <w:pPr>
        <w:pStyle w:val="19"/>
        <w:numPr>
          <w:ilvl w:val="0"/>
          <w:numId w:val="0"/>
        </w:numPr>
        <w:ind w:leftChars="0"/>
      </w:pPr>
      <w:r>
        <w:rPr>
          <w:rFonts w:hint="eastAsia"/>
          <w:lang w:val="en-US" w:eastAsia="zh-CN"/>
        </w:rPr>
        <w:t>3.</w:t>
      </w:r>
      <w:r>
        <w:t>详细评审：评标小组按照评分细则，对通过符合性审查的投标文件进行打分，计算各投标人的综合得分。</w:t>
      </w:r>
    </w:p>
    <w:p w14:paraId="6A76FD2A">
      <w:pPr>
        <w:pStyle w:val="19"/>
        <w:numPr>
          <w:ilvl w:val="0"/>
          <w:numId w:val="0"/>
        </w:numPr>
        <w:ind w:leftChars="0"/>
        <w:rPr>
          <w:color w:val="auto"/>
        </w:rPr>
      </w:pPr>
      <w:r>
        <w:rPr>
          <w:rFonts w:hint="eastAsia"/>
          <w:color w:val="auto"/>
          <w:lang w:val="en-US" w:eastAsia="zh-CN"/>
        </w:rPr>
        <w:t>4.</w:t>
      </w:r>
      <w:r>
        <w:rPr>
          <w:color w:val="auto"/>
        </w:rPr>
        <w:t>推荐中标候选人：根据综合得分从高到低的顺序，推荐1-3名中标候选人，并出具评标报告。</w:t>
      </w:r>
    </w:p>
    <w:p w14:paraId="71D5644A">
      <w:pPr>
        <w:pStyle w:val="19"/>
        <w:numPr>
          <w:ilvl w:val="0"/>
          <w:numId w:val="0"/>
        </w:numPr>
        <w:ind w:leftChars="0"/>
        <w:rPr>
          <w:color w:val="auto"/>
        </w:rPr>
      </w:pPr>
      <w:r>
        <w:rPr>
          <w:rFonts w:hint="eastAsia"/>
          <w:color w:val="auto"/>
          <w:lang w:val="en-US" w:eastAsia="zh-CN"/>
        </w:rPr>
        <w:t>5.</w:t>
      </w:r>
      <w:r>
        <w:rPr>
          <w:color w:val="auto"/>
        </w:rPr>
        <w:t>定标：招标人根据评标报告及实际情况，确定中标人，并在医院官网、院内公告栏公示中标结果，公示期为3个工作日。</w:t>
      </w:r>
    </w:p>
    <w:p w14:paraId="6E58FB6B">
      <w:pPr>
        <w:pStyle w:val="19"/>
        <w:numPr>
          <w:ilvl w:val="0"/>
          <w:numId w:val="0"/>
        </w:numPr>
        <w:ind w:leftChars="0"/>
        <w:rPr>
          <w:color w:val="FF0000"/>
        </w:rPr>
      </w:pPr>
    </w:p>
    <w:p w14:paraId="50BF9EB0">
      <w:pPr>
        <w:pStyle w:val="19"/>
        <w:numPr>
          <w:ilvl w:val="0"/>
          <w:numId w:val="0"/>
        </w:numPr>
        <w:ind w:leftChars="0"/>
        <w:rPr>
          <w:color w:val="FF0000"/>
        </w:rPr>
      </w:pPr>
    </w:p>
    <w:p w14:paraId="1EE5F3EC">
      <w:pPr>
        <w:pStyle w:val="19"/>
        <w:numPr>
          <w:ilvl w:val="0"/>
          <w:numId w:val="0"/>
        </w:numPr>
        <w:ind w:leftChars="0"/>
        <w:rPr>
          <w:color w:val="FF0000"/>
        </w:rPr>
      </w:pPr>
    </w:p>
    <w:p w14:paraId="6E8AF23E">
      <w:pPr>
        <w:pStyle w:val="19"/>
        <w:numPr>
          <w:ilvl w:val="0"/>
          <w:numId w:val="0"/>
        </w:numPr>
        <w:ind w:leftChars="0"/>
        <w:rPr>
          <w:color w:val="FF0000"/>
        </w:rPr>
      </w:pPr>
    </w:p>
    <w:p w14:paraId="0ECBBD10">
      <w:pPr>
        <w:pStyle w:val="19"/>
        <w:numPr>
          <w:ilvl w:val="0"/>
          <w:numId w:val="0"/>
        </w:numPr>
        <w:ind w:leftChars="0"/>
        <w:rPr>
          <w:color w:val="FF0000"/>
        </w:rPr>
      </w:pPr>
    </w:p>
    <w:p w14:paraId="4D5E400F">
      <w:pPr>
        <w:pStyle w:val="19"/>
        <w:numPr>
          <w:ilvl w:val="0"/>
          <w:numId w:val="0"/>
        </w:numPr>
        <w:ind w:leftChars="0"/>
        <w:rPr>
          <w:color w:val="FF0000"/>
        </w:rPr>
      </w:pPr>
    </w:p>
    <w:p w14:paraId="55155773">
      <w:pPr>
        <w:pStyle w:val="19"/>
        <w:numPr>
          <w:ilvl w:val="0"/>
          <w:numId w:val="0"/>
        </w:numPr>
        <w:ind w:leftChars="0"/>
        <w:rPr>
          <w:color w:val="FF0000"/>
        </w:rPr>
      </w:pPr>
    </w:p>
    <w:p w14:paraId="18F58B0A">
      <w:pPr>
        <w:pStyle w:val="19"/>
        <w:numPr>
          <w:ilvl w:val="0"/>
          <w:numId w:val="0"/>
        </w:numPr>
        <w:ind w:leftChars="0"/>
        <w:rPr>
          <w:color w:val="FF0000"/>
        </w:rPr>
      </w:pPr>
    </w:p>
    <w:p w14:paraId="05BD79C6">
      <w:pPr>
        <w:pStyle w:val="19"/>
        <w:numPr>
          <w:ilvl w:val="0"/>
          <w:numId w:val="0"/>
        </w:numPr>
        <w:ind w:leftChars="0"/>
        <w:rPr>
          <w:color w:val="FF0000"/>
        </w:rPr>
      </w:pPr>
    </w:p>
    <w:p w14:paraId="38C9FDAA">
      <w:pPr>
        <w:pStyle w:val="19"/>
        <w:numPr>
          <w:ilvl w:val="0"/>
          <w:numId w:val="0"/>
        </w:numPr>
        <w:ind w:leftChars="0"/>
        <w:rPr>
          <w:color w:val="FF0000"/>
        </w:rPr>
      </w:pPr>
    </w:p>
    <w:p w14:paraId="5CC584AC">
      <w:pPr>
        <w:pStyle w:val="19"/>
      </w:pPr>
    </w:p>
    <w:p w14:paraId="4379F930">
      <w:pPr>
        <w:pBdr>
          <w:bottom w:val="single" w:color="auto" w:sz="6" w:space="1"/>
        </w:pBdr>
      </w:pPr>
    </w:p>
    <w:p w14:paraId="0696D935">
      <w:pPr>
        <w:pStyle w:val="3"/>
        <w:rPr>
          <w:rFonts w:ascii="Arial" w:hAnsi="Arial" w:eastAsia="等线" w:cs="Arial"/>
          <w:b w:val="0"/>
          <w:bCs w:val="0"/>
          <w:color w:val="auto"/>
          <w:sz w:val="22"/>
          <w:szCs w:val="22"/>
        </w:rPr>
      </w:pPr>
      <w:r>
        <w:rPr>
          <w:rFonts w:ascii="Arial" w:hAnsi="Arial" w:eastAsia="等线" w:cs="Arial"/>
          <w:b w:val="0"/>
          <w:bCs w:val="0"/>
          <w:color w:val="auto"/>
          <w:sz w:val="22"/>
          <w:szCs w:val="22"/>
        </w:rPr>
        <w:t>第五部分 合同主要条款</w:t>
      </w:r>
    </w:p>
    <w:p w14:paraId="3261EB6F">
      <w:pPr>
        <w:pStyle w:val="4"/>
        <w:rPr>
          <w:rFonts w:ascii="Arial" w:hAnsi="Arial" w:eastAsia="等线" w:cs="Arial"/>
          <w:b w:val="0"/>
          <w:bCs w:val="0"/>
          <w:color w:val="auto"/>
          <w:sz w:val="22"/>
          <w:szCs w:val="22"/>
        </w:rPr>
      </w:pPr>
      <w:r>
        <w:rPr>
          <w:rFonts w:ascii="Arial" w:hAnsi="Arial" w:eastAsia="等线" w:cs="Arial"/>
          <w:b w:val="0"/>
          <w:bCs w:val="0"/>
          <w:color w:val="auto"/>
          <w:sz w:val="22"/>
          <w:szCs w:val="22"/>
        </w:rPr>
        <w:t>甲方（招标人）：XX医院</w:t>
      </w:r>
    </w:p>
    <w:p w14:paraId="0284F618">
      <w:pPr>
        <w:pStyle w:val="4"/>
        <w:rPr>
          <w:rFonts w:ascii="Arial" w:hAnsi="Arial" w:eastAsia="等线" w:cs="Arial"/>
          <w:b w:val="0"/>
          <w:bCs w:val="0"/>
          <w:color w:val="auto"/>
          <w:sz w:val="22"/>
          <w:szCs w:val="22"/>
        </w:rPr>
      </w:pPr>
      <w:r>
        <w:rPr>
          <w:rFonts w:ascii="Arial" w:hAnsi="Arial" w:eastAsia="等线" w:cs="Arial"/>
          <w:b w:val="0"/>
          <w:bCs w:val="0"/>
          <w:color w:val="auto"/>
          <w:sz w:val="22"/>
          <w:szCs w:val="22"/>
        </w:rPr>
        <w:t>乙方（中标人）：XX有限公司</w:t>
      </w:r>
    </w:p>
    <w:p w14:paraId="5686C4BE">
      <w:pPr>
        <w:pStyle w:val="19"/>
      </w:pPr>
      <w:r>
        <w:t>根据《中华人民共和国民法典》《中华人民共和国招标投标法》及相关法律法规，甲乙双方就XX医院自动贩卖机经营服务项目，经协商一致，签订本合同，以资共同遵守。</w:t>
      </w:r>
    </w:p>
    <w:p w14:paraId="6ADC0B31">
      <w:pPr>
        <w:pStyle w:val="5"/>
      </w:pPr>
      <w:r>
        <w:t>第一条 项目概况</w:t>
      </w:r>
    </w:p>
    <w:p w14:paraId="2A3BDAD7">
      <w:pPr>
        <w:pStyle w:val="19"/>
        <w:numPr>
          <w:ilvl w:val="0"/>
          <w:numId w:val="0"/>
        </w:numPr>
        <w:ind w:leftChars="0"/>
      </w:pPr>
      <w:r>
        <w:rPr>
          <w:rFonts w:hint="eastAsia"/>
          <w:lang w:val="en-US" w:eastAsia="zh-CN"/>
        </w:rPr>
        <w:t>1.</w:t>
      </w:r>
      <w:r>
        <w:t>项目名称：</w:t>
      </w:r>
      <w:r>
        <w:rPr>
          <w:rFonts w:hint="eastAsia"/>
          <w:lang w:val="en-US" w:eastAsia="zh-CN"/>
        </w:rPr>
        <w:t>舟山绿城</w:t>
      </w:r>
      <w:r>
        <w:t>医院自动</w:t>
      </w:r>
      <w:r>
        <w:rPr>
          <w:rFonts w:hint="eastAsia"/>
          <w:lang w:val="en-US" w:eastAsia="zh-CN"/>
        </w:rPr>
        <w:t>售货</w:t>
      </w:r>
      <w:r>
        <w:t>机经营服务项目。</w:t>
      </w:r>
    </w:p>
    <w:p w14:paraId="2C3CE9E2">
      <w:pPr>
        <w:pStyle w:val="19"/>
        <w:numPr>
          <w:ilvl w:val="0"/>
          <w:numId w:val="0"/>
        </w:numPr>
        <w:ind w:leftChars="0"/>
      </w:pPr>
      <w:r>
        <w:rPr>
          <w:rFonts w:hint="eastAsia"/>
          <w:lang w:val="en-US" w:eastAsia="zh-CN"/>
        </w:rPr>
        <w:t>2.</w:t>
      </w:r>
      <w:r>
        <w:t>服务地点：XX医院院内指定区域（具体点位见附件《自动贩卖机点位确认表》）。</w:t>
      </w:r>
    </w:p>
    <w:p w14:paraId="5AE17220">
      <w:pPr>
        <w:pStyle w:val="19"/>
        <w:numPr>
          <w:ilvl w:val="0"/>
          <w:numId w:val="0"/>
        </w:numPr>
        <w:ind w:leftChars="0"/>
      </w:pPr>
      <w:r>
        <w:rPr>
          <w:rFonts w:hint="eastAsia"/>
          <w:lang w:val="en-US" w:eastAsia="zh-CN"/>
        </w:rPr>
        <w:t>3.</w:t>
      </w:r>
      <w:r>
        <w:t>投放数量：</w:t>
      </w:r>
      <w:r>
        <w:rPr>
          <w:rFonts w:hint="eastAsia"/>
          <w:color w:val="auto"/>
          <w:lang w:eastAsia="zh-CN"/>
        </w:rPr>
        <w:t>投放</w:t>
      </w:r>
      <w:r>
        <w:rPr>
          <w:color w:val="auto"/>
        </w:rPr>
        <w:t>【XX】台</w:t>
      </w:r>
      <w:r>
        <w:t>。</w:t>
      </w:r>
    </w:p>
    <w:p w14:paraId="7A0DD063">
      <w:pPr>
        <w:pStyle w:val="19"/>
        <w:numPr>
          <w:ilvl w:val="0"/>
          <w:numId w:val="0"/>
        </w:numPr>
        <w:ind w:leftChars="0"/>
      </w:pPr>
      <w:r>
        <w:rPr>
          <w:rFonts w:hint="eastAsia"/>
          <w:lang w:val="en-US" w:eastAsia="zh-CN"/>
        </w:rPr>
        <w:t>4.</w:t>
      </w:r>
      <w:r>
        <w:t>服务期限：自【2026】年【XX】月【XX】日起至【2029】年【XX】月【XX】日止。</w:t>
      </w:r>
      <w:r>
        <w:rPr>
          <w:rFonts w:hint="eastAsia"/>
          <w:sz w:val="24"/>
          <w:szCs w:val="32"/>
          <w:highlight w:val="none"/>
          <w:lang w:val="en-US" w:eastAsia="zh-CN"/>
        </w:rPr>
        <w:t>服务期限到期后设备归招标人所有。</w:t>
      </w:r>
    </w:p>
    <w:p w14:paraId="232A56E7">
      <w:pPr>
        <w:pStyle w:val="5"/>
      </w:pPr>
      <w:r>
        <w:t>第二条 双方权利与义务</w:t>
      </w:r>
    </w:p>
    <w:p w14:paraId="4BCB51D0">
      <w:pPr>
        <w:pStyle w:val="6"/>
      </w:pPr>
      <w:r>
        <w:t>（一）甲方权利与义务</w:t>
      </w:r>
    </w:p>
    <w:p w14:paraId="21473286">
      <w:pPr>
        <w:pStyle w:val="19"/>
        <w:numPr>
          <w:ilvl w:val="0"/>
          <w:numId w:val="0"/>
        </w:numPr>
        <w:ind w:leftChars="0"/>
      </w:pPr>
      <w:r>
        <w:rPr>
          <w:rFonts w:hint="eastAsia"/>
          <w:lang w:val="en-US" w:eastAsia="zh-CN"/>
        </w:rPr>
        <w:t>1.</w:t>
      </w:r>
      <w:r>
        <w:t>甲方有权对乙方的运营服务、商品质量、设备状态进行监督检查，对乙方的违规行为有权要求其限期整改。</w:t>
      </w:r>
    </w:p>
    <w:p w14:paraId="1A82E6DD">
      <w:pPr>
        <w:pStyle w:val="19"/>
        <w:numPr>
          <w:ilvl w:val="0"/>
          <w:numId w:val="0"/>
        </w:numPr>
        <w:ind w:leftChars="0"/>
      </w:pPr>
      <w:r>
        <w:rPr>
          <w:rFonts w:hint="eastAsia"/>
          <w:lang w:val="en-US" w:eastAsia="zh-CN"/>
        </w:rPr>
        <w:t>2.</w:t>
      </w:r>
      <w:r>
        <w:t>甲方有权按照本合同约定及考核机制对乙方进行考核，考核结果作为支付场地使用费、续签合同的依据。</w:t>
      </w:r>
    </w:p>
    <w:p w14:paraId="02613F37">
      <w:pPr>
        <w:pStyle w:val="19"/>
        <w:numPr>
          <w:ilvl w:val="0"/>
          <w:numId w:val="0"/>
        </w:numPr>
        <w:ind w:leftChars="0"/>
      </w:pPr>
      <w:r>
        <w:rPr>
          <w:rFonts w:hint="eastAsia"/>
          <w:lang w:val="en-US" w:eastAsia="zh-CN"/>
        </w:rPr>
        <w:t>3.</w:t>
      </w:r>
      <w:r>
        <w:t>甲方为乙方提供设备摆放的场地及电源接口，协助乙方协调院内相关部门的工作。</w:t>
      </w:r>
    </w:p>
    <w:p w14:paraId="4DDA1609">
      <w:pPr>
        <w:pStyle w:val="19"/>
        <w:numPr>
          <w:ilvl w:val="0"/>
          <w:numId w:val="0"/>
        </w:numPr>
        <w:ind w:leftChars="0"/>
      </w:pPr>
      <w:r>
        <w:rPr>
          <w:rFonts w:hint="eastAsia"/>
          <w:lang w:val="en-US" w:eastAsia="zh-CN"/>
        </w:rPr>
        <w:t>4.</w:t>
      </w:r>
      <w:r>
        <w:t>甲方不得干预乙方的正常经营活动（法律法规及医院管理规定除外），不得向乙方收取本合同约定之外的费用。</w:t>
      </w:r>
    </w:p>
    <w:p w14:paraId="6E45B318">
      <w:pPr>
        <w:pStyle w:val="6"/>
      </w:pPr>
      <w:r>
        <w:t>（二）乙方权利与义务</w:t>
      </w:r>
    </w:p>
    <w:p w14:paraId="2BF15A51">
      <w:pPr>
        <w:pStyle w:val="19"/>
        <w:numPr>
          <w:ilvl w:val="0"/>
          <w:numId w:val="0"/>
        </w:numPr>
        <w:ind w:leftChars="0"/>
      </w:pPr>
      <w:r>
        <w:rPr>
          <w:rFonts w:hint="eastAsia"/>
          <w:lang w:val="en-US" w:eastAsia="zh-CN"/>
        </w:rPr>
        <w:t>1.</w:t>
      </w:r>
      <w:r>
        <w:t>乙方有权在本合同约定的范围内自主经营，享有自动</w:t>
      </w:r>
      <w:r>
        <w:rPr>
          <w:rFonts w:hint="eastAsia"/>
          <w:lang w:val="en-US" w:eastAsia="zh-CN"/>
        </w:rPr>
        <w:t>售货</w:t>
      </w:r>
      <w:r>
        <w:t>机的所有权及经营收益权。</w:t>
      </w:r>
    </w:p>
    <w:p w14:paraId="36BCD85C">
      <w:pPr>
        <w:pStyle w:val="19"/>
        <w:numPr>
          <w:ilvl w:val="0"/>
          <w:numId w:val="0"/>
        </w:numPr>
        <w:ind w:leftChars="0"/>
      </w:pPr>
      <w:r>
        <w:rPr>
          <w:rFonts w:hint="eastAsia"/>
          <w:lang w:val="en-US" w:eastAsia="zh-CN"/>
        </w:rPr>
        <w:t>2.</w:t>
      </w:r>
      <w:r>
        <w:t>乙方须严格遵守国家法律法规、医院管理规定及本合同约定，承担设备安全、食品安全、运营安全的全部责任。</w:t>
      </w:r>
    </w:p>
    <w:p w14:paraId="06D5087D">
      <w:pPr>
        <w:pStyle w:val="19"/>
        <w:numPr>
          <w:ilvl w:val="0"/>
          <w:numId w:val="0"/>
        </w:numPr>
        <w:ind w:leftChars="0"/>
      </w:pPr>
      <w:r>
        <w:rPr>
          <w:rFonts w:hint="eastAsia"/>
          <w:lang w:val="en-US" w:eastAsia="zh-CN"/>
        </w:rPr>
        <w:t>3.</w:t>
      </w:r>
      <w:r>
        <w:t>乙方须按招标文件要求及投标承诺，提供优质的运营服务，确保设备正常运行、商品充足、环境整洁。</w:t>
      </w:r>
    </w:p>
    <w:p w14:paraId="4E47C130">
      <w:pPr>
        <w:pStyle w:val="19"/>
        <w:numPr>
          <w:ilvl w:val="0"/>
          <w:numId w:val="0"/>
        </w:numPr>
        <w:ind w:leftChars="0"/>
      </w:pPr>
      <w:r>
        <w:rPr>
          <w:rFonts w:hint="eastAsia"/>
          <w:lang w:val="en-US" w:eastAsia="zh-CN"/>
        </w:rPr>
        <w:t>4.</w:t>
      </w:r>
      <w:r>
        <w:t>乙方须按时向甲方缴纳场地使用费、电费，按要求向甲方报送运营数据。</w:t>
      </w:r>
    </w:p>
    <w:p w14:paraId="3EF5DDA2">
      <w:pPr>
        <w:pStyle w:val="19"/>
        <w:numPr>
          <w:ilvl w:val="0"/>
          <w:numId w:val="0"/>
        </w:numPr>
        <w:ind w:leftChars="0"/>
      </w:pPr>
      <w:r>
        <w:rPr>
          <w:rFonts w:hint="eastAsia"/>
          <w:lang w:val="en-US" w:eastAsia="zh-CN"/>
        </w:rPr>
        <w:t>5.</w:t>
      </w:r>
      <w:r>
        <w:t>乙方须配合甲方完成上级部门的检查、考核工作，发生突发事件时，及时向甲方报告并配合处置。</w:t>
      </w:r>
    </w:p>
    <w:p w14:paraId="5CE7D5C9">
      <w:pPr>
        <w:pStyle w:val="5"/>
      </w:pPr>
      <w:r>
        <w:t>第</w:t>
      </w:r>
      <w:r>
        <w:rPr>
          <w:rFonts w:hint="eastAsia"/>
          <w:lang w:eastAsia="zh-CN"/>
        </w:rPr>
        <w:t>三</w:t>
      </w:r>
      <w:r>
        <w:t>条 履约保证金</w:t>
      </w:r>
    </w:p>
    <w:p w14:paraId="37EA94BD">
      <w:pPr>
        <w:pStyle w:val="19"/>
        <w:numPr>
          <w:ilvl w:val="0"/>
          <w:numId w:val="0"/>
        </w:numPr>
        <w:ind w:leftChars="0"/>
      </w:pPr>
      <w:r>
        <w:rPr>
          <w:rFonts w:hint="eastAsia"/>
          <w:lang w:val="en-US" w:eastAsia="zh-CN"/>
        </w:rPr>
        <w:t>1.</w:t>
      </w:r>
      <w:r>
        <w:t>乙方须在本合同签订前，向甲方缴纳履约保证金【</w:t>
      </w:r>
      <w:r>
        <w:rPr>
          <w:rFonts w:hint="eastAsia"/>
          <w:lang w:val="en-US" w:eastAsia="zh-CN"/>
        </w:rPr>
        <w:t>1</w:t>
      </w:r>
      <w:r>
        <w:t>】万元（大写：人民币</w:t>
      </w:r>
      <w:r>
        <w:rPr>
          <w:rFonts w:hint="eastAsia"/>
          <w:lang w:val="en-US" w:eastAsia="zh-CN"/>
        </w:rPr>
        <w:t>壹</w:t>
      </w:r>
      <w:r>
        <w:t>万元整）。</w:t>
      </w:r>
    </w:p>
    <w:p w14:paraId="6FD80B92">
      <w:pPr>
        <w:pStyle w:val="19"/>
        <w:numPr>
          <w:ilvl w:val="0"/>
          <w:numId w:val="0"/>
        </w:numPr>
        <w:ind w:leftChars="0"/>
      </w:pPr>
      <w:r>
        <w:rPr>
          <w:rFonts w:hint="eastAsia"/>
          <w:lang w:val="en-US" w:eastAsia="zh-CN"/>
        </w:rPr>
        <w:t>2.</w:t>
      </w:r>
      <w:r>
        <w:t>服务期限届满，若乙方无违约行为、无未结清费用，甲方在合同终止后15日内，将履约保证金全额无息退还乙方。</w:t>
      </w:r>
    </w:p>
    <w:p w14:paraId="57F0755B">
      <w:pPr>
        <w:pStyle w:val="19"/>
        <w:numPr>
          <w:ilvl w:val="0"/>
          <w:numId w:val="0"/>
        </w:numPr>
        <w:ind w:leftChars="0"/>
      </w:pPr>
      <w:r>
        <w:rPr>
          <w:rFonts w:hint="eastAsia"/>
          <w:lang w:val="en-US" w:eastAsia="zh-CN"/>
        </w:rPr>
        <w:t>3.</w:t>
      </w:r>
      <w:r>
        <w:t>若乙方存在违约行为，甲方有权扣除部分或全部履约保证金，不足部分，甲方有权向乙方追偿。</w:t>
      </w:r>
    </w:p>
    <w:p w14:paraId="144E1E15">
      <w:pPr>
        <w:pStyle w:val="5"/>
        <w:rPr>
          <w:rFonts w:hint="eastAsia"/>
          <w:lang w:val="en-US" w:eastAsia="zh-CN"/>
        </w:rPr>
      </w:pPr>
      <w:r>
        <w:t>第</w:t>
      </w:r>
      <w:r>
        <w:rPr>
          <w:rFonts w:hint="eastAsia"/>
          <w:lang w:val="en-US" w:eastAsia="zh-CN"/>
        </w:rPr>
        <w:t>四</w:t>
      </w:r>
      <w:r>
        <w:t xml:space="preserve">条 </w:t>
      </w:r>
      <w:r>
        <w:rPr>
          <w:rFonts w:hint="eastAsia"/>
          <w:lang w:val="en-US" w:eastAsia="zh-CN"/>
        </w:rPr>
        <w:t>费用结算</w:t>
      </w:r>
    </w:p>
    <w:p w14:paraId="687259D3">
      <w:r>
        <w:rPr>
          <w:rFonts w:hint="eastAsia" w:ascii="Arial" w:hAnsi="Arial" w:eastAsia="等线" w:cs="Arial"/>
          <w:sz w:val="22"/>
          <w:szCs w:val="22"/>
          <w:lang w:val="en-US" w:eastAsia="zh-CN"/>
        </w:rPr>
        <w:t>合同签订后，乙方每季度第一个月15号之前按中标比例向甲方支付场地使用费，服务期满后结清所有费用。</w:t>
      </w:r>
    </w:p>
    <w:p w14:paraId="1ECC1172">
      <w:pPr>
        <w:pStyle w:val="5"/>
      </w:pPr>
      <w:r>
        <w:t>第</w:t>
      </w:r>
      <w:r>
        <w:rPr>
          <w:rFonts w:hint="eastAsia"/>
          <w:lang w:val="en-US" w:eastAsia="zh-CN"/>
        </w:rPr>
        <w:t>五</w:t>
      </w:r>
      <w:r>
        <w:t>条 考核与整改</w:t>
      </w:r>
    </w:p>
    <w:p w14:paraId="31E65120">
      <w:pPr>
        <w:pStyle w:val="19"/>
        <w:numPr>
          <w:ilvl w:val="0"/>
          <w:numId w:val="0"/>
        </w:numPr>
        <w:ind w:leftChars="0"/>
      </w:pPr>
      <w:r>
        <w:rPr>
          <w:rFonts w:hint="eastAsia"/>
          <w:lang w:val="en-US" w:eastAsia="zh-CN"/>
        </w:rPr>
        <w:t>1.</w:t>
      </w:r>
      <w:r>
        <w:t>甲方按本招标文件约定的考核机制，对乙方进行月度考核和年度考核。</w:t>
      </w:r>
    </w:p>
    <w:p w14:paraId="7A56582E">
      <w:pPr>
        <w:pStyle w:val="19"/>
        <w:numPr>
          <w:ilvl w:val="0"/>
          <w:numId w:val="0"/>
        </w:numPr>
        <w:ind w:leftChars="0"/>
      </w:pPr>
      <w:r>
        <w:rPr>
          <w:rFonts w:hint="eastAsia"/>
          <w:lang w:val="en-US" w:eastAsia="zh-CN"/>
        </w:rPr>
        <w:t>2.</w:t>
      </w:r>
      <w:r>
        <w:t>乙方月度考核不合格的，须在7日内完成整改，并向甲方提交整改报告；整改不合格的，甲方有权扣除当月10%的场地使用费。</w:t>
      </w:r>
    </w:p>
    <w:p w14:paraId="3E72A9CF">
      <w:pPr>
        <w:pStyle w:val="19"/>
        <w:numPr>
          <w:ilvl w:val="0"/>
          <w:numId w:val="0"/>
        </w:numPr>
        <w:ind w:leftChars="0"/>
      </w:pPr>
      <w:r>
        <w:rPr>
          <w:rFonts w:hint="eastAsia"/>
          <w:lang w:val="en-US" w:eastAsia="zh-CN"/>
        </w:rPr>
        <w:t>3.</w:t>
      </w:r>
      <w:r>
        <w:t>乙方年度考核不合格的，甲方有权解除本合同，没收履约保证金，乙方须在7日内撤出设备，清理场地。</w:t>
      </w:r>
    </w:p>
    <w:p w14:paraId="07F3C7F8">
      <w:pPr>
        <w:pStyle w:val="5"/>
      </w:pPr>
      <w:r>
        <w:t>第</w:t>
      </w:r>
      <w:r>
        <w:rPr>
          <w:rFonts w:hint="eastAsia"/>
          <w:lang w:val="en-US" w:eastAsia="zh-CN"/>
        </w:rPr>
        <w:t>六</w:t>
      </w:r>
      <w:r>
        <w:t>条 违约责任</w:t>
      </w:r>
    </w:p>
    <w:p w14:paraId="5569B154">
      <w:pPr>
        <w:pStyle w:val="19"/>
        <w:numPr>
          <w:ilvl w:val="0"/>
          <w:numId w:val="0"/>
        </w:numPr>
        <w:ind w:leftChars="0"/>
      </w:pPr>
      <w:r>
        <w:rPr>
          <w:rFonts w:hint="eastAsia"/>
          <w:lang w:val="en-US" w:eastAsia="zh-CN"/>
        </w:rPr>
        <w:t>1.</w:t>
      </w:r>
      <w:r>
        <w:t>乙方违反商品管理规定，销售过期、假冒伪劣商品的，甲方有权要求乙方立即下架，并按每批次商品价值的10倍向甲方支付违约金；情节严重的，甲方有权解除本合同，没收履约保证金，并追究乙方的法律责任。</w:t>
      </w:r>
    </w:p>
    <w:p w14:paraId="4B4EB402">
      <w:pPr>
        <w:pStyle w:val="19"/>
        <w:numPr>
          <w:ilvl w:val="0"/>
          <w:numId w:val="0"/>
        </w:numPr>
        <w:ind w:leftChars="0"/>
      </w:pPr>
      <w:r>
        <w:rPr>
          <w:rFonts w:hint="eastAsia"/>
          <w:lang w:val="en-US" w:eastAsia="zh-CN"/>
        </w:rPr>
        <w:t>2.</w:t>
      </w:r>
      <w:r>
        <w:t>乙方违反运营服务要求，设备故障、缺货、清洁消毒不达标，经整改后仍不合格的，甲方有权扣除部分履约保证金；给甲方或患者造成损失的，乙方须承担赔偿责任。</w:t>
      </w:r>
    </w:p>
    <w:p w14:paraId="526C6211">
      <w:pPr>
        <w:pStyle w:val="19"/>
        <w:numPr>
          <w:ilvl w:val="0"/>
          <w:numId w:val="0"/>
        </w:numPr>
        <w:ind w:leftChars="0"/>
      </w:pPr>
      <w:r>
        <w:rPr>
          <w:rFonts w:hint="eastAsia"/>
          <w:lang w:val="en-US" w:eastAsia="zh-CN"/>
        </w:rPr>
        <w:t>3.</w:t>
      </w:r>
      <w:r>
        <w:t>甲方未按本合同约定提供场地或电源接口，给乙方造成损失的，甲方须承担赔偿责任。</w:t>
      </w:r>
    </w:p>
    <w:p w14:paraId="5FF053CB">
      <w:pPr>
        <w:pStyle w:val="5"/>
      </w:pPr>
      <w:r>
        <w:t>第八条 合同的解除与续签</w:t>
      </w:r>
    </w:p>
    <w:p w14:paraId="6901E34D">
      <w:pPr>
        <w:pStyle w:val="19"/>
        <w:numPr>
          <w:ilvl w:val="0"/>
          <w:numId w:val="0"/>
        </w:numPr>
        <w:ind w:leftChars="0"/>
      </w:pPr>
      <w:r>
        <w:rPr>
          <w:rFonts w:hint="eastAsia"/>
          <w:lang w:val="en-US" w:eastAsia="zh-CN"/>
        </w:rPr>
        <w:t>1.</w:t>
      </w:r>
      <w:r>
        <w:t>本合同期满，双方协商一致的，可续签合同；续签合同的，双方另行签订补充协议。</w:t>
      </w:r>
    </w:p>
    <w:p w14:paraId="2A17830A">
      <w:pPr>
        <w:pStyle w:val="19"/>
        <w:numPr>
          <w:ilvl w:val="0"/>
          <w:numId w:val="0"/>
        </w:numPr>
        <w:ind w:leftChars="0"/>
      </w:pPr>
      <w:r>
        <w:rPr>
          <w:rFonts w:hint="eastAsia"/>
          <w:lang w:val="en-US" w:eastAsia="zh-CN"/>
        </w:rPr>
        <w:t>2.</w:t>
      </w:r>
      <w:r>
        <w:t>因不可抗力导致本合同无法继续履行的，双方可解除合同，互不承担违约责任。</w:t>
      </w:r>
    </w:p>
    <w:p w14:paraId="6C36D370">
      <w:pPr>
        <w:pStyle w:val="19"/>
        <w:numPr>
          <w:ilvl w:val="0"/>
          <w:numId w:val="0"/>
        </w:numPr>
        <w:ind w:leftChars="0"/>
      </w:pPr>
      <w:r>
        <w:rPr>
          <w:rFonts w:hint="eastAsia"/>
          <w:lang w:val="en-US" w:eastAsia="zh-CN"/>
        </w:rPr>
        <w:t>3.</w:t>
      </w:r>
      <w:r>
        <w:t>一方严重违约，另一方有权解除合同，并要求违约方承担违约责任。</w:t>
      </w:r>
    </w:p>
    <w:p w14:paraId="5B0E7F75">
      <w:pPr>
        <w:pStyle w:val="5"/>
      </w:pPr>
      <w:r>
        <w:t>第九条 争议解决</w:t>
      </w:r>
    </w:p>
    <w:p w14:paraId="20E1F28C">
      <w:pPr>
        <w:pStyle w:val="19"/>
      </w:pPr>
      <w:r>
        <w:t>本合同履行过程中发生的争议，双方应首先协商解决；协商不成的，任何一方均有权向</w:t>
      </w:r>
      <w:r>
        <w:rPr>
          <w:b/>
          <w:bCs/>
        </w:rPr>
        <w:t>项目所在地人民法院</w:t>
      </w:r>
      <w:r>
        <w:t>提起诉讼。</w:t>
      </w:r>
    </w:p>
    <w:p w14:paraId="20B3C612">
      <w:pPr>
        <w:pStyle w:val="5"/>
      </w:pPr>
      <w:r>
        <w:t>第十条 其他</w:t>
      </w:r>
    </w:p>
    <w:p w14:paraId="26160287">
      <w:pPr>
        <w:pStyle w:val="19"/>
        <w:numPr>
          <w:ilvl w:val="0"/>
          <w:numId w:val="0"/>
        </w:numPr>
        <w:ind w:leftChars="0"/>
      </w:pPr>
      <w:r>
        <w:rPr>
          <w:rFonts w:hint="eastAsia"/>
          <w:lang w:val="en-US" w:eastAsia="zh-CN"/>
        </w:rPr>
        <w:t>1.</w:t>
      </w:r>
      <w:r>
        <w:t>本合同附件为本合同不可分割的组成部分，与本合同具有同等法律效力。</w:t>
      </w:r>
    </w:p>
    <w:p w14:paraId="2F94999C">
      <w:pPr>
        <w:pStyle w:val="19"/>
        <w:numPr>
          <w:ilvl w:val="0"/>
          <w:numId w:val="0"/>
        </w:numPr>
        <w:ind w:leftChars="0"/>
      </w:pPr>
      <w:r>
        <w:rPr>
          <w:rFonts w:hint="eastAsia"/>
          <w:lang w:val="en-US" w:eastAsia="zh-CN"/>
        </w:rPr>
        <w:t>2.</w:t>
      </w:r>
      <w:r>
        <w:t>本合同一式肆份，甲方执贰份，乙方执贰份，自双方签字盖章之日起生效。</w:t>
      </w:r>
    </w:p>
    <w:p w14:paraId="23F567EE">
      <w:pPr>
        <w:pStyle w:val="19"/>
        <w:numPr>
          <w:ilvl w:val="0"/>
          <w:numId w:val="0"/>
        </w:numPr>
        <w:ind w:leftChars="0"/>
      </w:pPr>
      <w:r>
        <w:rPr>
          <w:rFonts w:hint="eastAsia"/>
          <w:lang w:val="en-US" w:eastAsia="zh-CN"/>
        </w:rPr>
        <w:t>3.</w:t>
      </w:r>
      <w:r>
        <w:t>本合同未尽事宜，双方可另行签订补充协议，补充协议与本合同具有同等法律效力。</w:t>
      </w:r>
    </w:p>
    <w:p w14:paraId="7FC5E294">
      <w:pPr>
        <w:pStyle w:val="19"/>
      </w:pPr>
      <w:r>
        <w:t>甲方（盖章）：</w:t>
      </w:r>
    </w:p>
    <w:p w14:paraId="4A2A655E">
      <w:pPr>
        <w:pStyle w:val="19"/>
      </w:pPr>
      <w:r>
        <w:t>法定代表人（签字）：</w:t>
      </w:r>
    </w:p>
    <w:p w14:paraId="154F2430">
      <w:pPr>
        <w:pStyle w:val="19"/>
      </w:pPr>
      <w:r>
        <w:t>签订日期：2026年XX月XX日</w:t>
      </w:r>
    </w:p>
    <w:p w14:paraId="6B0468B5">
      <w:pPr>
        <w:pStyle w:val="19"/>
      </w:pPr>
      <w:r>
        <w:t>乙方（盖章）：</w:t>
      </w:r>
    </w:p>
    <w:p w14:paraId="1816C26C">
      <w:pPr>
        <w:pStyle w:val="19"/>
      </w:pPr>
      <w:r>
        <w:t>法定代表人（签字）：</w:t>
      </w:r>
    </w:p>
    <w:p w14:paraId="2C7F533A">
      <w:pPr>
        <w:pStyle w:val="19"/>
      </w:pPr>
      <w:r>
        <w:t>签订日期：2026年XX月XX日</w:t>
      </w:r>
    </w:p>
    <w:p w14:paraId="5A3FB01B">
      <w:pPr>
        <w:pStyle w:val="19"/>
      </w:pPr>
    </w:p>
    <w:p w14:paraId="031E4DA3">
      <w:pPr>
        <w:pStyle w:val="19"/>
      </w:pPr>
    </w:p>
    <w:p w14:paraId="1678EE5B">
      <w:pPr>
        <w:pStyle w:val="19"/>
      </w:pPr>
    </w:p>
    <w:p w14:paraId="21E08E42">
      <w:pPr>
        <w:pStyle w:val="19"/>
      </w:pPr>
    </w:p>
    <w:p w14:paraId="17AE4D60">
      <w:pPr>
        <w:pStyle w:val="19"/>
      </w:pPr>
    </w:p>
    <w:p w14:paraId="2A0D14ED">
      <w:pPr>
        <w:pStyle w:val="19"/>
      </w:pPr>
    </w:p>
    <w:p w14:paraId="57F1E8AD">
      <w:pPr>
        <w:pStyle w:val="19"/>
      </w:pPr>
    </w:p>
    <w:p w14:paraId="06657177">
      <w:pPr>
        <w:pStyle w:val="19"/>
      </w:pPr>
    </w:p>
    <w:p w14:paraId="3D121DCF">
      <w:pPr>
        <w:pStyle w:val="19"/>
      </w:pPr>
    </w:p>
    <w:p w14:paraId="79F1C417">
      <w:pPr>
        <w:pStyle w:val="19"/>
      </w:pPr>
    </w:p>
    <w:p w14:paraId="2DFA354F">
      <w:pPr>
        <w:pStyle w:val="19"/>
      </w:pPr>
    </w:p>
    <w:p w14:paraId="650788F6">
      <w:pPr>
        <w:pStyle w:val="19"/>
      </w:pPr>
    </w:p>
    <w:p w14:paraId="3DA23CB8">
      <w:pPr>
        <w:pStyle w:val="19"/>
      </w:pPr>
    </w:p>
    <w:p w14:paraId="46C60BC1">
      <w:pPr>
        <w:pStyle w:val="19"/>
      </w:pPr>
    </w:p>
    <w:p w14:paraId="68E812BE">
      <w:pPr>
        <w:pStyle w:val="19"/>
      </w:pPr>
    </w:p>
    <w:p w14:paraId="4A3035A2">
      <w:pPr>
        <w:pStyle w:val="19"/>
      </w:pPr>
    </w:p>
    <w:p w14:paraId="03C8D770">
      <w:pPr>
        <w:pStyle w:val="19"/>
      </w:pPr>
    </w:p>
    <w:p w14:paraId="29B7A2EB">
      <w:pPr>
        <w:pStyle w:val="19"/>
      </w:pPr>
    </w:p>
    <w:p w14:paraId="769B762E">
      <w:pPr>
        <w:pStyle w:val="19"/>
      </w:pPr>
    </w:p>
    <w:p w14:paraId="32263A8E">
      <w:pPr>
        <w:pStyle w:val="19"/>
      </w:pPr>
    </w:p>
    <w:p w14:paraId="0A4785E1">
      <w:pPr>
        <w:pBdr>
          <w:bottom w:val="single" w:color="auto" w:sz="6" w:space="1"/>
        </w:pBdr>
      </w:pPr>
    </w:p>
    <w:p w14:paraId="4BB67400">
      <w:pPr>
        <w:pStyle w:val="3"/>
      </w:pPr>
      <w:r>
        <w:t>第六部分 投标文件格式</w:t>
      </w:r>
    </w:p>
    <w:p w14:paraId="5A9399BA">
      <w:pPr>
        <w:pStyle w:val="4"/>
      </w:pPr>
      <w:r>
        <w:t>目录</w:t>
      </w:r>
    </w:p>
    <w:p w14:paraId="011584A3">
      <w:pPr>
        <w:pStyle w:val="19"/>
        <w:numPr>
          <w:ilvl w:val="0"/>
          <w:numId w:val="0"/>
        </w:numPr>
        <w:ind w:leftChars="0"/>
      </w:pPr>
      <w:r>
        <w:rPr>
          <w:rFonts w:hint="eastAsia"/>
          <w:lang w:val="en-US" w:eastAsia="zh-CN"/>
        </w:rPr>
        <w:t>1.</w:t>
      </w:r>
      <w:r>
        <w:t>投标函</w:t>
      </w:r>
    </w:p>
    <w:p w14:paraId="4DC370AF">
      <w:pPr>
        <w:pStyle w:val="19"/>
        <w:numPr>
          <w:ilvl w:val="0"/>
          <w:numId w:val="0"/>
        </w:numPr>
        <w:ind w:leftChars="0"/>
      </w:pPr>
      <w:r>
        <w:rPr>
          <w:rFonts w:hint="eastAsia"/>
          <w:lang w:val="en-US" w:eastAsia="zh-CN"/>
        </w:rPr>
        <w:t>2.</w:t>
      </w:r>
      <w:r>
        <w:t>投标函附录</w:t>
      </w:r>
    </w:p>
    <w:p w14:paraId="7D1E2C82">
      <w:pPr>
        <w:pStyle w:val="19"/>
        <w:numPr>
          <w:ilvl w:val="0"/>
          <w:numId w:val="0"/>
        </w:numPr>
        <w:ind w:leftChars="0"/>
      </w:pPr>
      <w:r>
        <w:rPr>
          <w:rFonts w:hint="eastAsia"/>
          <w:lang w:val="en-US" w:eastAsia="zh-CN"/>
        </w:rPr>
        <w:t>3.</w:t>
      </w:r>
      <w:r>
        <w:t>法定代表人身份证明</w:t>
      </w:r>
    </w:p>
    <w:p w14:paraId="560C41F1">
      <w:pPr>
        <w:pStyle w:val="19"/>
        <w:numPr>
          <w:ilvl w:val="0"/>
          <w:numId w:val="0"/>
        </w:numPr>
        <w:ind w:leftChars="0"/>
      </w:pPr>
      <w:r>
        <w:rPr>
          <w:rFonts w:hint="eastAsia"/>
          <w:lang w:val="en-US" w:eastAsia="zh-CN"/>
        </w:rPr>
        <w:t>4.</w:t>
      </w:r>
      <w:r>
        <w:t>授权委托书</w:t>
      </w:r>
    </w:p>
    <w:p w14:paraId="6283E4EC">
      <w:pPr>
        <w:pStyle w:val="19"/>
        <w:numPr>
          <w:ilvl w:val="0"/>
          <w:numId w:val="0"/>
        </w:numPr>
        <w:ind w:leftChars="0"/>
      </w:pPr>
      <w:r>
        <w:rPr>
          <w:rFonts w:hint="eastAsia"/>
          <w:lang w:val="en-US" w:eastAsia="zh-CN"/>
        </w:rPr>
        <w:t>5.</w:t>
      </w:r>
      <w:r>
        <w:t>投标人资质证明文件</w:t>
      </w:r>
    </w:p>
    <w:p w14:paraId="5073E33F">
      <w:pPr>
        <w:pStyle w:val="19"/>
        <w:ind w:firstLine="220" w:firstLineChars="100"/>
      </w:pPr>
      <w:r>
        <w:t>5.1 营业执照副本复印件</w:t>
      </w:r>
    </w:p>
    <w:p w14:paraId="20306EC3">
      <w:pPr>
        <w:pStyle w:val="19"/>
        <w:ind w:firstLine="220" w:firstLineChars="100"/>
      </w:pPr>
      <w:r>
        <w:t>5.2 食品经营许可证复印件</w:t>
      </w:r>
    </w:p>
    <w:p w14:paraId="61969452">
      <w:pPr>
        <w:pStyle w:val="19"/>
        <w:ind w:firstLine="220" w:firstLineChars="100"/>
      </w:pPr>
      <w:r>
        <w:t>5.3 其他相关资质证明文件</w:t>
      </w:r>
    </w:p>
    <w:p w14:paraId="54B144CC">
      <w:pPr>
        <w:pStyle w:val="19"/>
        <w:numPr>
          <w:ilvl w:val="0"/>
          <w:numId w:val="0"/>
        </w:numPr>
        <w:ind w:leftChars="0"/>
      </w:pPr>
      <w:r>
        <w:rPr>
          <w:rFonts w:hint="eastAsia"/>
          <w:lang w:val="en-US" w:eastAsia="zh-CN"/>
        </w:rPr>
        <w:t>6.</w:t>
      </w:r>
      <w:r>
        <w:t>信用查询截图</w:t>
      </w:r>
    </w:p>
    <w:p w14:paraId="75720DE4">
      <w:pPr>
        <w:pStyle w:val="19"/>
        <w:numPr>
          <w:ilvl w:val="0"/>
          <w:numId w:val="0"/>
        </w:numPr>
        <w:ind w:leftChars="0"/>
      </w:pPr>
      <w:r>
        <w:rPr>
          <w:rFonts w:hint="eastAsia"/>
          <w:lang w:val="en-US" w:eastAsia="zh-CN"/>
        </w:rPr>
        <w:t>7.</w:t>
      </w:r>
      <w:r>
        <w:t>同类项目业绩证明材料</w:t>
      </w:r>
    </w:p>
    <w:p w14:paraId="3731402E">
      <w:pPr>
        <w:pStyle w:val="19"/>
        <w:numPr>
          <w:ilvl w:val="0"/>
          <w:numId w:val="0"/>
        </w:numPr>
        <w:ind w:leftChars="0"/>
        <w:rPr>
          <w:rFonts w:hint="eastAsia"/>
          <w:lang w:val="en-US" w:eastAsia="zh-CN"/>
        </w:rPr>
      </w:pPr>
      <w:r>
        <w:rPr>
          <w:rFonts w:hint="eastAsia"/>
          <w:lang w:val="en-US" w:eastAsia="zh-CN"/>
        </w:rPr>
        <w:t>8.投标报价表</w:t>
      </w:r>
    </w:p>
    <w:p w14:paraId="37ACD634">
      <w:pPr>
        <w:pStyle w:val="19"/>
        <w:numPr>
          <w:ilvl w:val="0"/>
          <w:numId w:val="0"/>
        </w:numPr>
        <w:ind w:leftChars="0"/>
        <w:rPr>
          <w:rFonts w:hint="eastAsia"/>
          <w:lang w:val="en-US" w:eastAsia="zh-CN"/>
        </w:rPr>
      </w:pPr>
      <w:r>
        <w:rPr>
          <w:rFonts w:hint="eastAsia"/>
          <w:lang w:val="en-US" w:eastAsia="zh-CN"/>
        </w:rPr>
        <w:t>9.设备技术参数响应表</w:t>
      </w:r>
    </w:p>
    <w:p w14:paraId="24D25A04">
      <w:pPr>
        <w:pStyle w:val="19"/>
        <w:numPr>
          <w:ilvl w:val="0"/>
          <w:numId w:val="0"/>
        </w:numPr>
        <w:ind w:leftChars="0"/>
        <w:rPr>
          <w:rFonts w:hint="eastAsia"/>
          <w:lang w:val="en-US" w:eastAsia="zh-CN"/>
        </w:rPr>
      </w:pPr>
      <w:r>
        <w:rPr>
          <w:rFonts w:hint="eastAsia"/>
          <w:lang w:val="en-US" w:eastAsia="zh-CN"/>
        </w:rPr>
        <w:t>10.运营服务方案</w:t>
      </w:r>
    </w:p>
    <w:p w14:paraId="4A8CEF44">
      <w:pPr>
        <w:pStyle w:val="19"/>
        <w:numPr>
          <w:ilvl w:val="0"/>
          <w:numId w:val="0"/>
        </w:numPr>
        <w:ind w:leftChars="0"/>
        <w:rPr>
          <w:rFonts w:hint="eastAsia"/>
          <w:lang w:val="en-US" w:eastAsia="zh-CN"/>
        </w:rPr>
      </w:pPr>
      <w:r>
        <w:rPr>
          <w:rFonts w:hint="eastAsia"/>
          <w:lang w:val="en-US" w:eastAsia="zh-CN"/>
        </w:rPr>
        <w:t>11.服务承诺函</w:t>
      </w:r>
    </w:p>
    <w:p w14:paraId="2F0DF871">
      <w:pPr>
        <w:pStyle w:val="19"/>
        <w:numPr>
          <w:ilvl w:val="0"/>
          <w:numId w:val="0"/>
        </w:numPr>
        <w:ind w:leftChars="0"/>
        <w:rPr>
          <w:rFonts w:hint="eastAsia"/>
          <w:lang w:val="en-US" w:eastAsia="zh-CN"/>
        </w:rPr>
      </w:pPr>
      <w:r>
        <w:rPr>
          <w:rFonts w:hint="eastAsia"/>
          <w:lang w:val="en-US" w:eastAsia="zh-CN"/>
        </w:rPr>
        <w:t>12.投标人认为需要提供的其他材料</w:t>
      </w:r>
    </w:p>
    <w:p w14:paraId="4B38E643">
      <w:pPr>
        <w:pStyle w:val="19"/>
        <w:numPr>
          <w:ilvl w:val="0"/>
          <w:numId w:val="0"/>
        </w:numPr>
        <w:ind w:leftChars="0"/>
        <w:rPr>
          <w:rFonts w:hint="eastAsia"/>
          <w:lang w:val="en-US" w:eastAsia="zh-CN"/>
        </w:rPr>
      </w:pPr>
    </w:p>
    <w:p w14:paraId="59B3FE6C">
      <w:pPr>
        <w:pStyle w:val="19"/>
        <w:numPr>
          <w:ilvl w:val="0"/>
          <w:numId w:val="0"/>
        </w:numPr>
        <w:ind w:leftChars="0"/>
        <w:rPr>
          <w:rFonts w:hint="eastAsia"/>
          <w:lang w:val="en-US" w:eastAsia="zh-CN"/>
        </w:rPr>
      </w:pPr>
    </w:p>
    <w:p w14:paraId="31E4D2AB">
      <w:pPr>
        <w:pStyle w:val="19"/>
        <w:numPr>
          <w:ilvl w:val="0"/>
          <w:numId w:val="0"/>
        </w:numPr>
        <w:ind w:leftChars="0"/>
        <w:rPr>
          <w:rFonts w:hint="eastAsia"/>
          <w:lang w:val="en-US" w:eastAsia="zh-CN"/>
        </w:rPr>
      </w:pPr>
    </w:p>
    <w:p w14:paraId="5F769807">
      <w:pPr>
        <w:pStyle w:val="19"/>
        <w:numPr>
          <w:ilvl w:val="0"/>
          <w:numId w:val="0"/>
        </w:numPr>
        <w:ind w:leftChars="0"/>
        <w:rPr>
          <w:rFonts w:hint="eastAsia"/>
          <w:lang w:val="en-US" w:eastAsia="zh-CN"/>
        </w:rPr>
      </w:pPr>
    </w:p>
    <w:p w14:paraId="53377E0D">
      <w:pPr>
        <w:pStyle w:val="19"/>
        <w:numPr>
          <w:ilvl w:val="0"/>
          <w:numId w:val="0"/>
        </w:numPr>
        <w:ind w:leftChars="0"/>
        <w:rPr>
          <w:rFonts w:hint="eastAsia"/>
          <w:lang w:val="en-US" w:eastAsia="zh-CN"/>
        </w:rPr>
      </w:pPr>
    </w:p>
    <w:p w14:paraId="0DBCEFB9">
      <w:pPr>
        <w:pStyle w:val="19"/>
        <w:numPr>
          <w:ilvl w:val="0"/>
          <w:numId w:val="0"/>
        </w:numPr>
        <w:ind w:leftChars="0"/>
        <w:rPr>
          <w:rFonts w:hint="eastAsia"/>
          <w:lang w:val="en-US" w:eastAsia="zh-CN"/>
        </w:rPr>
      </w:pPr>
    </w:p>
    <w:p w14:paraId="50319EA3">
      <w:pPr>
        <w:pStyle w:val="19"/>
        <w:numPr>
          <w:ilvl w:val="0"/>
          <w:numId w:val="0"/>
        </w:numPr>
        <w:ind w:leftChars="0"/>
        <w:rPr>
          <w:rFonts w:hint="eastAsia"/>
          <w:lang w:val="en-US" w:eastAsia="zh-CN"/>
        </w:rPr>
      </w:pPr>
    </w:p>
    <w:p w14:paraId="221BFF1A">
      <w:pPr>
        <w:pStyle w:val="19"/>
        <w:numPr>
          <w:ilvl w:val="0"/>
          <w:numId w:val="0"/>
        </w:numPr>
        <w:ind w:leftChars="0"/>
        <w:rPr>
          <w:rFonts w:hint="eastAsia"/>
          <w:lang w:val="en-US" w:eastAsia="zh-CN"/>
        </w:rPr>
      </w:pPr>
    </w:p>
    <w:p w14:paraId="66EC041E">
      <w:pPr>
        <w:pStyle w:val="19"/>
        <w:numPr>
          <w:ilvl w:val="0"/>
          <w:numId w:val="0"/>
        </w:numPr>
        <w:ind w:leftChars="0"/>
        <w:rPr>
          <w:rFonts w:hint="eastAsia"/>
          <w:lang w:val="en-US" w:eastAsia="zh-CN"/>
        </w:rPr>
      </w:pPr>
    </w:p>
    <w:p w14:paraId="799EA549">
      <w:pPr>
        <w:pStyle w:val="19"/>
        <w:numPr>
          <w:ilvl w:val="0"/>
          <w:numId w:val="0"/>
        </w:numPr>
        <w:ind w:leftChars="0"/>
        <w:rPr>
          <w:rFonts w:hint="eastAsia"/>
          <w:lang w:val="en-US" w:eastAsia="zh-CN"/>
        </w:rPr>
      </w:pPr>
    </w:p>
    <w:p w14:paraId="06AFAA25">
      <w:pPr>
        <w:pStyle w:val="19"/>
        <w:numPr>
          <w:ilvl w:val="0"/>
          <w:numId w:val="0"/>
        </w:numPr>
        <w:ind w:leftChars="0"/>
        <w:rPr>
          <w:rFonts w:hint="eastAsia"/>
          <w:lang w:val="en-US" w:eastAsia="zh-CN"/>
        </w:rPr>
      </w:pPr>
    </w:p>
    <w:p w14:paraId="57A55180">
      <w:pPr>
        <w:pStyle w:val="19"/>
        <w:numPr>
          <w:ilvl w:val="0"/>
          <w:numId w:val="0"/>
        </w:numPr>
        <w:ind w:leftChars="0"/>
        <w:rPr>
          <w:rFonts w:hint="eastAsia"/>
          <w:lang w:val="en-US" w:eastAsia="zh-CN"/>
        </w:rPr>
      </w:pPr>
    </w:p>
    <w:p w14:paraId="776F9BD0">
      <w:pPr>
        <w:pStyle w:val="4"/>
      </w:pPr>
      <w:r>
        <w:t>一、投标函</w:t>
      </w:r>
    </w:p>
    <w:p w14:paraId="59CE9C10">
      <w:pPr>
        <w:pStyle w:val="19"/>
      </w:pPr>
      <w:r>
        <w:t>致：XX医院</w:t>
      </w:r>
    </w:p>
    <w:p w14:paraId="34D2BA25">
      <w:pPr>
        <w:pStyle w:val="19"/>
      </w:pPr>
      <w:r>
        <w:t>我方已仔细研究了XX医院自动</w:t>
      </w:r>
      <w:r>
        <w:rPr>
          <w:rFonts w:hint="eastAsia"/>
          <w:lang w:val="en-US" w:eastAsia="zh-CN"/>
        </w:rPr>
        <w:t>售货</w:t>
      </w:r>
      <w:r>
        <w:t>机经营服务项目的招标文件全部内容，包括招标文件的澄清、修改文件（如有），现作出如下投标承诺：</w:t>
      </w:r>
    </w:p>
    <w:p w14:paraId="3C168784">
      <w:pPr>
        <w:pStyle w:val="19"/>
        <w:numPr>
          <w:ilvl w:val="0"/>
          <w:numId w:val="0"/>
        </w:numPr>
        <w:ind w:leftChars="0"/>
      </w:pPr>
      <w:r>
        <w:rPr>
          <w:rFonts w:hint="eastAsia"/>
          <w:lang w:val="en-US" w:eastAsia="zh-CN"/>
        </w:rPr>
        <w:t>1.</w:t>
      </w:r>
      <w:r>
        <w:t>我方同意以投标报价表中的报价（场地使用费</w:t>
      </w:r>
      <w:r>
        <w:rPr>
          <w:rFonts w:hint="eastAsia"/>
          <w:lang w:eastAsia="zh-CN"/>
        </w:rPr>
        <w:t>，</w:t>
      </w:r>
      <w:r>
        <w:rPr>
          <w:rFonts w:hint="eastAsia"/>
          <w:lang w:val="en-US" w:eastAsia="zh-CN"/>
        </w:rPr>
        <w:t>营业额的百分比</w:t>
      </w:r>
      <w:r>
        <w:t>，包干价），承担本项目的全部经营服务工作。</w:t>
      </w:r>
    </w:p>
    <w:p w14:paraId="635D02F8">
      <w:pPr>
        <w:pStyle w:val="19"/>
        <w:numPr>
          <w:ilvl w:val="0"/>
          <w:numId w:val="0"/>
        </w:numPr>
        <w:ind w:leftChars="0"/>
      </w:pPr>
      <w:r>
        <w:rPr>
          <w:rFonts w:hint="eastAsia"/>
          <w:lang w:val="en-US" w:eastAsia="zh-CN"/>
        </w:rPr>
        <w:t>2.</w:t>
      </w:r>
      <w:r>
        <w:t>我方承诺，自动</w:t>
      </w:r>
      <w:r>
        <w:rPr>
          <w:rFonts w:hint="eastAsia"/>
          <w:lang w:val="en-US" w:eastAsia="zh-CN"/>
        </w:rPr>
        <w:t>售货</w:t>
      </w:r>
      <w:r>
        <w:t>机内商品售价不高于本地大型商超同期零售价，严格遵守医院商品管理规定。</w:t>
      </w:r>
    </w:p>
    <w:p w14:paraId="20E2AF82">
      <w:pPr>
        <w:pStyle w:val="19"/>
        <w:numPr>
          <w:ilvl w:val="0"/>
          <w:numId w:val="0"/>
        </w:numPr>
        <w:ind w:leftChars="0"/>
      </w:pPr>
      <w:r>
        <w:rPr>
          <w:rFonts w:hint="eastAsia"/>
          <w:lang w:val="en-US" w:eastAsia="zh-CN"/>
        </w:rPr>
        <w:t>3.</w:t>
      </w:r>
      <w:r>
        <w:t>我方承诺，设备技术参数完全满足招标文件要求，运营服务严格按照招标文件及投标文件中的运营方案执行。</w:t>
      </w:r>
    </w:p>
    <w:p w14:paraId="70522FE7">
      <w:pPr>
        <w:pStyle w:val="19"/>
        <w:numPr>
          <w:ilvl w:val="0"/>
          <w:numId w:val="0"/>
        </w:numPr>
        <w:ind w:leftChars="0"/>
      </w:pPr>
      <w:r>
        <w:rPr>
          <w:rFonts w:hint="eastAsia"/>
          <w:lang w:val="en-US" w:eastAsia="zh-CN"/>
        </w:rPr>
        <w:t>4.</w:t>
      </w:r>
      <w:r>
        <w:t>我方承诺，服务期限为【</w:t>
      </w:r>
      <w:r>
        <w:rPr>
          <w:rFonts w:hint="eastAsia"/>
          <w:lang w:val="en-US" w:eastAsia="zh-CN"/>
        </w:rPr>
        <w:t>3</w:t>
      </w:r>
      <w:r>
        <w:t>】年，自合同签订之日起计算，服从院方考核管理，若考核不合格，接受院方相应处理。</w:t>
      </w:r>
    </w:p>
    <w:p w14:paraId="49D75701">
      <w:pPr>
        <w:pStyle w:val="19"/>
        <w:numPr>
          <w:ilvl w:val="0"/>
          <w:numId w:val="0"/>
        </w:numPr>
        <w:ind w:leftChars="0"/>
      </w:pPr>
      <w:r>
        <w:rPr>
          <w:rFonts w:hint="eastAsia"/>
          <w:lang w:val="en-US" w:eastAsia="zh-CN"/>
        </w:rPr>
        <w:t>5.</w:t>
      </w:r>
      <w:r>
        <w:t>我方同意投标文件有效期为自投标截止日起90个日历天，有效期内，我方的投标承诺保持有效，不得擅自变更。</w:t>
      </w:r>
    </w:p>
    <w:p w14:paraId="1D69ED2D">
      <w:pPr>
        <w:pStyle w:val="19"/>
        <w:numPr>
          <w:ilvl w:val="0"/>
          <w:numId w:val="0"/>
        </w:numPr>
        <w:ind w:leftChars="0"/>
      </w:pPr>
      <w:r>
        <w:rPr>
          <w:rFonts w:hint="eastAsia"/>
          <w:lang w:val="en-US" w:eastAsia="zh-CN"/>
        </w:rPr>
        <w:t>6.</w:t>
      </w:r>
      <w:r>
        <w:t>若我方中标，将在收到《中标通知书》后15日内与贵院签订合同，并按要求缴纳履约保证金，严格履行合同义务。</w:t>
      </w:r>
    </w:p>
    <w:p w14:paraId="387D7EEC">
      <w:pPr>
        <w:pStyle w:val="19"/>
        <w:numPr>
          <w:ilvl w:val="0"/>
          <w:numId w:val="0"/>
        </w:numPr>
        <w:ind w:leftChars="0"/>
      </w:pPr>
      <w:r>
        <w:rPr>
          <w:rFonts w:hint="eastAsia"/>
          <w:lang w:val="en-US" w:eastAsia="zh-CN"/>
        </w:rPr>
        <w:t>7.</w:t>
      </w:r>
      <w:r>
        <w:t>我方保证投标文件内容真实、有效，若存在弄虚作假行为，自愿承担一切法律责任。</w:t>
      </w:r>
    </w:p>
    <w:p w14:paraId="4A7F91F7">
      <w:pPr>
        <w:pStyle w:val="19"/>
      </w:pPr>
      <w:r>
        <w:t>投标人（盖章）：XX有限公司</w:t>
      </w:r>
    </w:p>
    <w:p w14:paraId="2A98ADC6">
      <w:pPr>
        <w:pStyle w:val="19"/>
      </w:pPr>
      <w:r>
        <w:t>法定代表人（签字或盖章）：</w:t>
      </w:r>
    </w:p>
    <w:p w14:paraId="5F98C87A">
      <w:pPr>
        <w:pStyle w:val="19"/>
      </w:pPr>
      <w:r>
        <w:t>日期：2026年XX月XX日</w:t>
      </w:r>
    </w:p>
    <w:p w14:paraId="0F227091">
      <w:pPr>
        <w:pStyle w:val="19"/>
      </w:pPr>
    </w:p>
    <w:p w14:paraId="1111C31F">
      <w:pPr>
        <w:pStyle w:val="19"/>
      </w:pPr>
    </w:p>
    <w:p w14:paraId="08ED04D0">
      <w:pPr>
        <w:pStyle w:val="19"/>
      </w:pPr>
    </w:p>
    <w:p w14:paraId="2A16314C">
      <w:pPr>
        <w:pStyle w:val="19"/>
      </w:pPr>
    </w:p>
    <w:p w14:paraId="414BA63C">
      <w:pPr>
        <w:pStyle w:val="19"/>
      </w:pPr>
    </w:p>
    <w:p w14:paraId="20108999">
      <w:pPr>
        <w:pStyle w:val="19"/>
      </w:pPr>
    </w:p>
    <w:p w14:paraId="42D1D77D">
      <w:pPr>
        <w:pStyle w:val="19"/>
      </w:pPr>
    </w:p>
    <w:p w14:paraId="56A72BE0">
      <w:pPr>
        <w:pStyle w:val="19"/>
      </w:pPr>
    </w:p>
    <w:p w14:paraId="7813299F">
      <w:pPr>
        <w:pStyle w:val="19"/>
      </w:pPr>
    </w:p>
    <w:p w14:paraId="70DE6005">
      <w:pPr>
        <w:pStyle w:val="19"/>
      </w:pPr>
    </w:p>
    <w:p w14:paraId="7184411A">
      <w:pPr>
        <w:pStyle w:val="19"/>
      </w:pPr>
    </w:p>
    <w:p w14:paraId="2697A178">
      <w:pPr>
        <w:pStyle w:val="4"/>
      </w:pPr>
      <w:r>
        <w:t>二、投标函附录</w:t>
      </w:r>
    </w:p>
    <w:p w14:paraId="69AC6001">
      <w:pPr>
        <w:pStyle w:val="19"/>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06"/>
        <w:gridCol w:w="2267"/>
        <w:gridCol w:w="5793"/>
      </w:tblGrid>
      <w:tr w14:paraId="1A4F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AB0EDA">
            <w:pPr>
              <w:pStyle w:val="19"/>
            </w:pPr>
            <w:r>
              <w:t>序号</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EE1285">
            <w:pPr>
              <w:pStyle w:val="19"/>
            </w:pPr>
            <w:r>
              <w:t>项目名称</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E1A155">
            <w:pPr>
              <w:pStyle w:val="19"/>
            </w:pPr>
            <w:r>
              <w:t>投标承诺内容</w:t>
            </w:r>
          </w:p>
        </w:tc>
      </w:tr>
      <w:tr w14:paraId="198D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0C54D1">
            <w:pPr>
              <w:pStyle w:val="19"/>
            </w:pPr>
            <w:r>
              <w:t>1</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84096F">
            <w:pPr>
              <w:pStyle w:val="19"/>
            </w:pPr>
            <w:r>
              <w:t>服务期限</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63A852">
            <w:pPr>
              <w:pStyle w:val="19"/>
              <w:rPr>
                <w:rFonts w:hint="eastAsia" w:eastAsia="等线"/>
                <w:lang w:eastAsia="zh-CN"/>
              </w:rPr>
            </w:pPr>
            <w:r>
              <w:t>【3】年（自合同签订之日起计算）</w:t>
            </w:r>
            <w:r>
              <w:rPr>
                <w:rFonts w:hint="eastAsia"/>
                <w:lang w:eastAsia="zh-CN"/>
              </w:rPr>
              <w:t>，</w:t>
            </w:r>
            <w:r>
              <w:rPr>
                <w:rFonts w:hint="eastAsia"/>
                <w:sz w:val="24"/>
                <w:szCs w:val="32"/>
                <w:highlight w:val="none"/>
                <w:lang w:val="en-US" w:eastAsia="zh-CN"/>
              </w:rPr>
              <w:t>服务期限到期后设备归招标人所有</w:t>
            </w:r>
          </w:p>
        </w:tc>
      </w:tr>
      <w:tr w14:paraId="4C5E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C386DF">
            <w:pPr>
              <w:pStyle w:val="19"/>
            </w:pPr>
            <w:r>
              <w:t>2</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DB58F5">
            <w:pPr>
              <w:pStyle w:val="19"/>
            </w:pPr>
            <w:r>
              <w:t>场地使用费报价</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561747">
            <w:pPr>
              <w:pStyle w:val="19"/>
              <w:rPr>
                <w:rFonts w:hint="default" w:eastAsia="等线"/>
                <w:lang w:val="en-US" w:eastAsia="zh-CN"/>
              </w:rPr>
            </w:pPr>
            <w:r>
              <w:rPr>
                <w:rFonts w:hint="eastAsia"/>
                <w:lang w:val="en-US" w:eastAsia="zh-CN"/>
              </w:rPr>
              <w:t>营业额的百分比</w:t>
            </w:r>
          </w:p>
        </w:tc>
      </w:tr>
      <w:tr w14:paraId="1D2D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6A8515">
            <w:pPr>
              <w:pStyle w:val="19"/>
            </w:pPr>
            <w:r>
              <w:t>3</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D0130A">
            <w:pPr>
              <w:pStyle w:val="19"/>
            </w:pPr>
            <w:r>
              <w:t>设备故障响应时间</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33E0F1">
            <w:pPr>
              <w:pStyle w:val="19"/>
            </w:pPr>
            <w:r>
              <w:t>2小时内响应，4小时内到场，24小时内修复</w:t>
            </w:r>
          </w:p>
        </w:tc>
      </w:tr>
      <w:tr w14:paraId="2613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7A419D">
            <w:pPr>
              <w:pStyle w:val="19"/>
            </w:pPr>
            <w:r>
              <w:t>4</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3189DA">
            <w:pPr>
              <w:pStyle w:val="19"/>
            </w:pPr>
            <w:r>
              <w:t>商品缺货率</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B8872C">
            <w:pPr>
              <w:pStyle w:val="19"/>
            </w:pPr>
            <w:r>
              <w:t>≤3%</w:t>
            </w:r>
          </w:p>
        </w:tc>
      </w:tr>
      <w:tr w14:paraId="742C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84C1FB">
            <w:pPr>
              <w:pStyle w:val="19"/>
            </w:pPr>
            <w:r>
              <w:t>5</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CAB958">
            <w:pPr>
              <w:pStyle w:val="19"/>
            </w:pPr>
            <w:r>
              <w:t>投诉办结率</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1D020A">
            <w:pPr>
              <w:pStyle w:val="19"/>
            </w:pPr>
            <w:r>
              <w:t>100%</w:t>
            </w:r>
          </w:p>
        </w:tc>
      </w:tr>
      <w:tr w14:paraId="630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34EEE6">
            <w:pPr>
              <w:pStyle w:val="19"/>
            </w:pPr>
            <w:r>
              <w:t>6</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D595F6">
            <w:pPr>
              <w:pStyle w:val="19"/>
            </w:pPr>
            <w:r>
              <w:t>履约保证金</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6657F1">
            <w:pPr>
              <w:pStyle w:val="19"/>
            </w:pPr>
            <w:r>
              <w:t>【XX】万元</w:t>
            </w:r>
          </w:p>
        </w:tc>
      </w:tr>
      <w:tr w14:paraId="7D7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AA27C2">
            <w:pPr>
              <w:pStyle w:val="19"/>
            </w:pPr>
            <w:r>
              <w:t>7</w:t>
            </w:r>
          </w:p>
        </w:tc>
        <w:tc>
          <w:tcPr>
            <w:tcW w:w="12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776CD6">
            <w:pPr>
              <w:pStyle w:val="19"/>
            </w:pPr>
            <w:r>
              <w:t>其他承诺</w:t>
            </w:r>
          </w:p>
        </w:tc>
        <w:tc>
          <w:tcPr>
            <w:tcW w:w="312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6687DA">
            <w:pPr>
              <w:pStyle w:val="19"/>
            </w:pPr>
            <w:r>
              <w:t>（如备用设备提供、免费更换老旧设备等）</w:t>
            </w:r>
          </w:p>
        </w:tc>
      </w:tr>
    </w:tbl>
    <w:p w14:paraId="6EEEB163">
      <w:pPr>
        <w:pStyle w:val="19"/>
      </w:pPr>
      <w:r>
        <w:t>投标人（盖章）：XX有限公司</w:t>
      </w:r>
    </w:p>
    <w:p w14:paraId="278F2E53">
      <w:pPr>
        <w:pStyle w:val="19"/>
      </w:pPr>
      <w:r>
        <w:t>法定代表人（签字或盖章）：</w:t>
      </w:r>
    </w:p>
    <w:p w14:paraId="4305EE26">
      <w:pPr>
        <w:pStyle w:val="19"/>
      </w:pPr>
      <w:r>
        <w:t>日期：2026年XX月XX日</w:t>
      </w:r>
    </w:p>
    <w:p w14:paraId="6ADC8E01">
      <w:pPr>
        <w:pStyle w:val="4"/>
      </w:pPr>
    </w:p>
    <w:p w14:paraId="4EF6E863">
      <w:pPr>
        <w:pStyle w:val="4"/>
      </w:pPr>
    </w:p>
    <w:p w14:paraId="659E8CC7">
      <w:pPr>
        <w:pStyle w:val="4"/>
      </w:pPr>
    </w:p>
    <w:p w14:paraId="762A487F">
      <w:pPr>
        <w:pStyle w:val="4"/>
      </w:pPr>
    </w:p>
    <w:p w14:paraId="6FA09924">
      <w:pPr>
        <w:pStyle w:val="4"/>
      </w:pPr>
    </w:p>
    <w:p w14:paraId="3DA73200">
      <w:pPr>
        <w:pStyle w:val="4"/>
      </w:pPr>
    </w:p>
    <w:p w14:paraId="79D16C62">
      <w:pPr>
        <w:pStyle w:val="4"/>
      </w:pPr>
    </w:p>
    <w:p w14:paraId="7E259671">
      <w:pPr>
        <w:pStyle w:val="4"/>
      </w:pPr>
    </w:p>
    <w:p w14:paraId="485B82BB">
      <w:pPr>
        <w:pStyle w:val="4"/>
      </w:pPr>
      <w:r>
        <w:t>三、法定代表人身份证明</w:t>
      </w:r>
    </w:p>
    <w:p w14:paraId="602C0704">
      <w:pPr>
        <w:pStyle w:val="19"/>
      </w:pPr>
      <w:r>
        <w:t>投标人名称：XX有限公司</w:t>
      </w:r>
    </w:p>
    <w:p w14:paraId="436460FE">
      <w:pPr>
        <w:pStyle w:val="19"/>
      </w:pPr>
      <w:r>
        <w:t>单位性质：有限责任公司</w:t>
      </w:r>
    </w:p>
    <w:p w14:paraId="3759AA2B">
      <w:pPr>
        <w:pStyle w:val="19"/>
      </w:pPr>
      <w:r>
        <w:t>地址：XX省XX市XX区XX路XX号</w:t>
      </w:r>
    </w:p>
    <w:p w14:paraId="1F0C43AC">
      <w:pPr>
        <w:pStyle w:val="19"/>
      </w:pPr>
      <w:r>
        <w:t>成立时间：【XXXX】年【XX】月【XX】日</w:t>
      </w:r>
    </w:p>
    <w:p w14:paraId="0717BC5A">
      <w:pPr>
        <w:pStyle w:val="19"/>
      </w:pPr>
      <w:r>
        <w:t>经营期限：【XXXX】年【XX】月【XX】日至【XXXX】年【XX】月【XX】日</w:t>
      </w:r>
    </w:p>
    <w:p w14:paraId="47FC4FD2">
      <w:pPr>
        <w:pStyle w:val="19"/>
      </w:pPr>
      <w:r>
        <w:t>法定代表人姓名：XX</w:t>
      </w:r>
    </w:p>
    <w:p w14:paraId="672C282A">
      <w:pPr>
        <w:pStyle w:val="19"/>
      </w:pPr>
      <w:r>
        <w:t>性别：X</w:t>
      </w:r>
    </w:p>
    <w:p w14:paraId="69B76013">
      <w:pPr>
        <w:pStyle w:val="19"/>
      </w:pPr>
      <w:r>
        <w:t>年龄：XX岁</w:t>
      </w:r>
    </w:p>
    <w:p w14:paraId="1E622A28">
      <w:pPr>
        <w:pStyle w:val="19"/>
        <w:rPr>
          <w:rFonts w:hint="eastAsia" w:eastAsia="等线"/>
          <w:lang w:eastAsia="zh-CN"/>
        </w:rPr>
      </w:pPr>
      <w:r>
        <w:t>职务：</w:t>
      </w:r>
    </w:p>
    <w:p w14:paraId="68FC7207">
      <w:pPr>
        <w:pStyle w:val="19"/>
      </w:pPr>
      <w:r>
        <w:t>特此证明。</w:t>
      </w:r>
    </w:p>
    <w:p w14:paraId="774FCAF6">
      <w:pPr>
        <w:pStyle w:val="19"/>
      </w:pPr>
      <w:r>
        <w:t>投标人（盖章）：XX有限公司</w:t>
      </w:r>
    </w:p>
    <w:p w14:paraId="45118780">
      <w:pPr>
        <w:pStyle w:val="19"/>
      </w:pPr>
      <w:r>
        <w:t>日期：2026年XX月XX日</w:t>
      </w:r>
    </w:p>
    <w:p w14:paraId="147D6121">
      <w:pPr>
        <w:pStyle w:val="4"/>
      </w:pPr>
    </w:p>
    <w:p w14:paraId="32AFA548">
      <w:pPr>
        <w:pStyle w:val="4"/>
      </w:pPr>
    </w:p>
    <w:p w14:paraId="5594BA9F">
      <w:pPr>
        <w:pStyle w:val="4"/>
      </w:pPr>
    </w:p>
    <w:p w14:paraId="29F09DA8">
      <w:pPr>
        <w:pStyle w:val="4"/>
      </w:pPr>
    </w:p>
    <w:p w14:paraId="02FDE461">
      <w:pPr>
        <w:pStyle w:val="4"/>
      </w:pPr>
    </w:p>
    <w:p w14:paraId="0039C3C2">
      <w:pPr>
        <w:pStyle w:val="4"/>
      </w:pPr>
    </w:p>
    <w:p w14:paraId="6EEC50D3">
      <w:pPr>
        <w:pStyle w:val="4"/>
      </w:pPr>
    </w:p>
    <w:p w14:paraId="3661FBBF">
      <w:pPr>
        <w:pStyle w:val="4"/>
      </w:pPr>
    </w:p>
    <w:p w14:paraId="527A45BA">
      <w:pPr>
        <w:pStyle w:val="4"/>
      </w:pPr>
    </w:p>
    <w:p w14:paraId="2687A658">
      <w:pPr>
        <w:pStyle w:val="4"/>
      </w:pPr>
    </w:p>
    <w:p w14:paraId="1D7B5763">
      <w:pPr>
        <w:pStyle w:val="4"/>
      </w:pPr>
      <w:r>
        <w:t>四、授权委托书</w:t>
      </w:r>
    </w:p>
    <w:p w14:paraId="5AF7B13C">
      <w:pPr>
        <w:pStyle w:val="19"/>
      </w:pPr>
      <w:r>
        <w:t>致：XX医院</w:t>
      </w:r>
    </w:p>
    <w:p w14:paraId="51A27DE7">
      <w:pPr>
        <w:pStyle w:val="19"/>
      </w:pPr>
      <w:r>
        <w:t>本人【XX】（姓名），系XX有限公司的法定代表人，现授权委托【XX】（姓名）为我方授权代理人，代表我方参加XX医院自动</w:t>
      </w:r>
      <w:r>
        <w:rPr>
          <w:rFonts w:hint="eastAsia"/>
          <w:lang w:val="en-US" w:eastAsia="zh-CN"/>
        </w:rPr>
        <w:t>售货</w:t>
      </w:r>
      <w:r>
        <w:t>机经营服务项目的投标活动。</w:t>
      </w:r>
    </w:p>
    <w:p w14:paraId="6733CC6E">
      <w:pPr>
        <w:pStyle w:val="19"/>
      </w:pPr>
      <w:r>
        <w:t>授权代理人有权代表我方办理投标报名、领取招标文件、递交投标文件、参加开标会议、签订合同等相关事宜，其在投标活动中所签署的一切文件和处理的一切事务，我方均予以认可，并承担相应的法律责任。</w:t>
      </w:r>
    </w:p>
    <w:p w14:paraId="555AE0F6">
      <w:pPr>
        <w:pStyle w:val="19"/>
      </w:pPr>
      <w:r>
        <w:t>授权期限：自本授权委托书签署之日起至本项目投标活动结束之日止。</w:t>
      </w:r>
    </w:p>
    <w:p w14:paraId="5992A94F">
      <w:pPr>
        <w:pStyle w:val="19"/>
      </w:pPr>
      <w:r>
        <w:t>本授权委托书不得转委托。</w:t>
      </w:r>
    </w:p>
    <w:p w14:paraId="3E253A65">
      <w:pPr>
        <w:pStyle w:val="19"/>
      </w:pPr>
      <w:r>
        <w:t>法定代表人（签字或盖章）：</w:t>
      </w:r>
    </w:p>
    <w:p w14:paraId="511E3EAA">
      <w:pPr>
        <w:pStyle w:val="19"/>
      </w:pPr>
      <w:r>
        <w:t>投标人（盖章）：XX有限公司</w:t>
      </w:r>
    </w:p>
    <w:p w14:paraId="038FEA01">
      <w:pPr>
        <w:pStyle w:val="19"/>
      </w:pPr>
      <w:r>
        <w:t>授权代理人（签字）：</w:t>
      </w:r>
    </w:p>
    <w:p w14:paraId="497C54A8">
      <w:pPr>
        <w:pStyle w:val="19"/>
      </w:pPr>
      <w:r>
        <w:t>身份证号码：</w:t>
      </w:r>
    </w:p>
    <w:p w14:paraId="2260A6EE">
      <w:pPr>
        <w:pStyle w:val="19"/>
      </w:pPr>
      <w:r>
        <w:t>日期：2026年XX月XX日</w:t>
      </w:r>
    </w:p>
    <w:p w14:paraId="1E6E4A3E">
      <w:pPr>
        <w:pStyle w:val="4"/>
      </w:pPr>
    </w:p>
    <w:p w14:paraId="066C895A">
      <w:pPr>
        <w:pStyle w:val="4"/>
      </w:pPr>
    </w:p>
    <w:p w14:paraId="7F6ED47F">
      <w:pPr>
        <w:pStyle w:val="4"/>
      </w:pPr>
    </w:p>
    <w:p w14:paraId="5D9C2366">
      <w:pPr>
        <w:pStyle w:val="4"/>
      </w:pPr>
    </w:p>
    <w:p w14:paraId="11A8DBBB">
      <w:pPr>
        <w:pStyle w:val="4"/>
      </w:pPr>
    </w:p>
    <w:p w14:paraId="2D3300A2">
      <w:pPr>
        <w:pStyle w:val="4"/>
      </w:pPr>
    </w:p>
    <w:p w14:paraId="23198627">
      <w:pPr>
        <w:pStyle w:val="4"/>
      </w:pPr>
    </w:p>
    <w:p w14:paraId="084AC045">
      <w:pPr>
        <w:pStyle w:val="4"/>
      </w:pPr>
    </w:p>
    <w:p w14:paraId="68F3B09C">
      <w:pPr>
        <w:pStyle w:val="4"/>
      </w:pPr>
    </w:p>
    <w:p w14:paraId="231B1226">
      <w:pPr>
        <w:pStyle w:val="4"/>
      </w:pPr>
    </w:p>
    <w:p w14:paraId="1A9DAD6C">
      <w:pPr>
        <w:pStyle w:val="4"/>
      </w:pPr>
      <w:r>
        <w:t>五、投标报价表</w:t>
      </w:r>
    </w:p>
    <w:p w14:paraId="26E25811">
      <w:pPr>
        <w:pStyle w:val="19"/>
      </w:pPr>
    </w:p>
    <w:tbl>
      <w:tblPr>
        <w:tblStyle w:val="10"/>
        <w:tblW w:w="49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8"/>
        <w:gridCol w:w="1436"/>
        <w:gridCol w:w="721"/>
        <w:gridCol w:w="1055"/>
        <w:gridCol w:w="1588"/>
        <w:gridCol w:w="3551"/>
      </w:tblGrid>
      <w:tr w14:paraId="6D0C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BB777E">
            <w:pPr>
              <w:pStyle w:val="19"/>
            </w:pPr>
            <w:r>
              <w:t>序号</w:t>
            </w:r>
          </w:p>
        </w:tc>
        <w:tc>
          <w:tcPr>
            <w:tcW w:w="78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C30A50">
            <w:pPr>
              <w:pStyle w:val="19"/>
            </w:pPr>
            <w:r>
              <w:t>项目名称</w:t>
            </w:r>
          </w:p>
        </w:tc>
        <w:tc>
          <w:tcPr>
            <w:tcW w:w="39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F4DBFC">
            <w:pPr>
              <w:pStyle w:val="19"/>
            </w:pPr>
            <w:r>
              <w:t>单位</w:t>
            </w:r>
          </w:p>
        </w:tc>
        <w:tc>
          <w:tcPr>
            <w:tcW w:w="5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04A3DC">
            <w:pPr>
              <w:pStyle w:val="19"/>
            </w:pPr>
            <w:r>
              <w:t>数量</w:t>
            </w:r>
          </w:p>
        </w:tc>
        <w:tc>
          <w:tcPr>
            <w:tcW w:w="87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77A5FB">
            <w:pPr>
              <w:pStyle w:val="19"/>
              <w:rPr>
                <w:rFonts w:hint="default" w:eastAsia="等线"/>
                <w:lang w:val="en-US" w:eastAsia="zh-CN"/>
              </w:rPr>
            </w:pPr>
            <w:r>
              <w:rPr>
                <w:rFonts w:hint="eastAsia"/>
                <w:lang w:val="en-US" w:eastAsia="zh-CN"/>
              </w:rPr>
              <w:t>报价（营业额的百分比）</w:t>
            </w:r>
          </w:p>
        </w:tc>
        <w:tc>
          <w:tcPr>
            <w:tcW w:w="194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2B15A0">
            <w:pPr>
              <w:pStyle w:val="19"/>
            </w:pPr>
            <w:r>
              <w:t>备注</w:t>
            </w:r>
          </w:p>
        </w:tc>
      </w:tr>
      <w:tr w14:paraId="5F6F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FF96EA">
            <w:pPr>
              <w:pStyle w:val="19"/>
            </w:pPr>
            <w:r>
              <w:t>1</w:t>
            </w:r>
          </w:p>
        </w:tc>
        <w:tc>
          <w:tcPr>
            <w:tcW w:w="78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E0057C">
            <w:pPr>
              <w:pStyle w:val="19"/>
            </w:pPr>
            <w:r>
              <w:t>自动</w:t>
            </w:r>
            <w:r>
              <w:rPr>
                <w:rFonts w:hint="eastAsia"/>
                <w:lang w:val="en-US" w:eastAsia="zh-CN"/>
              </w:rPr>
              <w:t>售货</w:t>
            </w:r>
            <w:r>
              <w:t>机场地使用费</w:t>
            </w:r>
          </w:p>
        </w:tc>
        <w:tc>
          <w:tcPr>
            <w:tcW w:w="395"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45A849">
            <w:pPr>
              <w:pStyle w:val="19"/>
            </w:pPr>
          </w:p>
        </w:tc>
        <w:tc>
          <w:tcPr>
            <w:tcW w:w="5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3E16E0">
            <w:pPr>
              <w:pStyle w:val="19"/>
            </w:pPr>
            <w:r>
              <w:t>【XX】</w:t>
            </w:r>
          </w:p>
        </w:tc>
        <w:tc>
          <w:tcPr>
            <w:tcW w:w="87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B34268">
            <w:pPr>
              <w:pStyle w:val="19"/>
            </w:pPr>
            <w:r>
              <w:t>【XX】</w:t>
            </w:r>
          </w:p>
        </w:tc>
        <w:tc>
          <w:tcPr>
            <w:tcW w:w="194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764359">
            <w:pPr>
              <w:pStyle w:val="19"/>
            </w:pPr>
            <w:r>
              <w:t>1. 报价为包干价，含设备、运营、税费等所有费用；2. 报价不低于招标人设定的底价；3. 商品售价不高于本地商超零售价。</w:t>
            </w:r>
          </w:p>
        </w:tc>
      </w:tr>
    </w:tbl>
    <w:p w14:paraId="7A53A32D">
      <w:pPr>
        <w:pStyle w:val="19"/>
      </w:pPr>
      <w:r>
        <w:t>投标人（盖章）：XX有限公司</w:t>
      </w:r>
    </w:p>
    <w:p w14:paraId="69460795">
      <w:pPr>
        <w:pStyle w:val="19"/>
      </w:pPr>
      <w:r>
        <w:t>法定代表人或授权代理人（签字）：</w:t>
      </w:r>
    </w:p>
    <w:p w14:paraId="28986E6A">
      <w:pPr>
        <w:pStyle w:val="19"/>
      </w:pPr>
      <w:r>
        <w:t>日期：2026年XX月XX日</w:t>
      </w:r>
    </w:p>
    <w:p w14:paraId="0502DBD6">
      <w:pPr>
        <w:pStyle w:val="19"/>
      </w:pPr>
    </w:p>
    <w:p w14:paraId="652BDD31">
      <w:pPr>
        <w:pStyle w:val="19"/>
      </w:pPr>
    </w:p>
    <w:p w14:paraId="4C7CA982">
      <w:pPr>
        <w:pStyle w:val="19"/>
      </w:pPr>
    </w:p>
    <w:p w14:paraId="529A4CCF">
      <w:pPr>
        <w:pStyle w:val="19"/>
      </w:pPr>
    </w:p>
    <w:p w14:paraId="37C2C311">
      <w:pPr>
        <w:pStyle w:val="19"/>
      </w:pPr>
    </w:p>
    <w:p w14:paraId="3DF18FF8">
      <w:pPr>
        <w:pStyle w:val="19"/>
      </w:pPr>
    </w:p>
    <w:p w14:paraId="30FB4312">
      <w:pPr>
        <w:pStyle w:val="19"/>
      </w:pPr>
    </w:p>
    <w:p w14:paraId="36D0EA39">
      <w:pPr>
        <w:pStyle w:val="19"/>
      </w:pPr>
    </w:p>
    <w:p w14:paraId="5EB9FC2A">
      <w:pPr>
        <w:pStyle w:val="19"/>
      </w:pPr>
    </w:p>
    <w:p w14:paraId="4DB1685F">
      <w:pPr>
        <w:pStyle w:val="19"/>
      </w:pPr>
    </w:p>
    <w:p w14:paraId="77BB7B6A">
      <w:pPr>
        <w:pStyle w:val="19"/>
      </w:pPr>
    </w:p>
    <w:p w14:paraId="135D6D96">
      <w:pPr>
        <w:pStyle w:val="19"/>
      </w:pPr>
    </w:p>
    <w:p w14:paraId="0B58E2C7">
      <w:pPr>
        <w:pStyle w:val="19"/>
      </w:pPr>
    </w:p>
    <w:p w14:paraId="742ED721">
      <w:pPr>
        <w:pStyle w:val="19"/>
      </w:pPr>
    </w:p>
    <w:p w14:paraId="2B25B997">
      <w:pPr>
        <w:pStyle w:val="19"/>
      </w:pPr>
    </w:p>
    <w:p w14:paraId="5259A025">
      <w:pPr>
        <w:pStyle w:val="19"/>
      </w:pPr>
    </w:p>
    <w:p w14:paraId="5DB111C4">
      <w:pPr>
        <w:pStyle w:val="19"/>
      </w:pPr>
    </w:p>
    <w:p w14:paraId="02A24924">
      <w:pPr>
        <w:pStyle w:val="19"/>
      </w:pPr>
    </w:p>
    <w:p w14:paraId="478218DC">
      <w:pPr>
        <w:pStyle w:val="4"/>
        <w:numPr>
          <w:ilvl w:val="0"/>
          <w:numId w:val="3"/>
        </w:numPr>
      </w:pPr>
      <w:r>
        <w:t>设备技术参数响应表</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01"/>
        <w:gridCol w:w="2602"/>
        <w:gridCol w:w="2413"/>
        <w:gridCol w:w="1628"/>
        <w:gridCol w:w="935"/>
      </w:tblGrid>
      <w:tr w14:paraId="50A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top"/>
          </w:tcPr>
          <w:p w14:paraId="142C3D69">
            <w:pPr>
              <w:pStyle w:val="19"/>
              <w:ind w:left="0" w:leftChars="0"/>
              <w:rPr>
                <w:rFonts w:hint="eastAsia" w:ascii="Arial" w:hAnsi="Arial" w:eastAsia="等线" w:cs="Arial"/>
                <w:color w:val="auto"/>
                <w:sz w:val="22"/>
                <w:szCs w:val="22"/>
              </w:rPr>
            </w:pPr>
            <w:r>
              <w:rPr>
                <w:color w:val="auto"/>
              </w:rPr>
              <w:t>序号</w:t>
            </w:r>
          </w:p>
        </w:tc>
        <w:tc>
          <w:tcPr>
            <w:tcW w:w="1950" w:type="pct"/>
            <w:gridSpan w:val="2"/>
            <w:tcBorders>
              <w:tl2br w:val="nil"/>
              <w:tr2bl w:val="nil"/>
            </w:tcBorders>
            <w:shd w:val="clear" w:color="auto" w:fill="auto"/>
            <w:vAlign w:val="top"/>
          </w:tcPr>
          <w:p w14:paraId="056E09FC">
            <w:pPr>
              <w:pStyle w:val="19"/>
              <w:ind w:left="0" w:leftChars="0"/>
              <w:rPr>
                <w:rFonts w:hint="eastAsia" w:ascii="Arial" w:hAnsi="Arial" w:eastAsia="等线" w:cs="Arial"/>
                <w:color w:val="auto"/>
                <w:sz w:val="22"/>
                <w:szCs w:val="22"/>
              </w:rPr>
            </w:pPr>
            <w:r>
              <w:rPr>
                <w:rFonts w:hint="eastAsia"/>
                <w:color w:val="auto"/>
                <w:lang w:val="en-US" w:eastAsia="zh-CN"/>
              </w:rPr>
              <w:t>招标</w:t>
            </w:r>
            <w:r>
              <w:rPr>
                <w:color w:val="auto"/>
              </w:rPr>
              <w:t>人设备</w:t>
            </w:r>
            <w:r>
              <w:rPr>
                <w:rFonts w:hint="eastAsia"/>
                <w:color w:val="auto"/>
                <w:lang w:val="en-US" w:eastAsia="zh-CN"/>
              </w:rPr>
              <w:t>招标</w:t>
            </w:r>
            <w:r>
              <w:rPr>
                <w:color w:val="auto"/>
              </w:rPr>
              <w:t>参数</w:t>
            </w:r>
          </w:p>
        </w:tc>
        <w:tc>
          <w:tcPr>
            <w:tcW w:w="1306" w:type="pct"/>
            <w:tcBorders>
              <w:tl2br w:val="nil"/>
              <w:tr2bl w:val="nil"/>
            </w:tcBorders>
            <w:shd w:val="clear" w:color="auto" w:fill="auto"/>
            <w:vAlign w:val="top"/>
          </w:tcPr>
          <w:p w14:paraId="084B5C8F">
            <w:pPr>
              <w:pStyle w:val="19"/>
              <w:ind w:left="0" w:leftChars="0"/>
              <w:rPr>
                <w:rFonts w:hint="eastAsia" w:ascii="Arial" w:hAnsi="Arial" w:eastAsia="等线" w:cs="Arial"/>
                <w:color w:val="auto"/>
                <w:sz w:val="22"/>
                <w:szCs w:val="22"/>
              </w:rPr>
            </w:pPr>
            <w:r>
              <w:rPr>
                <w:color w:val="auto"/>
              </w:rPr>
              <w:t>投标人设备实际参数</w:t>
            </w:r>
          </w:p>
        </w:tc>
        <w:tc>
          <w:tcPr>
            <w:tcW w:w="881" w:type="pct"/>
            <w:tcBorders>
              <w:tl2br w:val="nil"/>
              <w:tr2bl w:val="nil"/>
            </w:tcBorders>
            <w:shd w:val="clear" w:color="auto" w:fill="auto"/>
            <w:vAlign w:val="top"/>
          </w:tcPr>
          <w:p w14:paraId="0D28EFC7">
            <w:pPr>
              <w:pStyle w:val="19"/>
              <w:ind w:left="0" w:leftChars="0"/>
              <w:rPr>
                <w:rFonts w:hint="eastAsia" w:ascii="Arial" w:hAnsi="Arial" w:eastAsia="等线" w:cs="Arial"/>
                <w:color w:val="auto"/>
                <w:sz w:val="22"/>
                <w:szCs w:val="22"/>
              </w:rPr>
            </w:pPr>
            <w:r>
              <w:rPr>
                <w:color w:val="auto"/>
              </w:rPr>
              <w:t>响应情况（满足/不满足）</w:t>
            </w:r>
          </w:p>
        </w:tc>
        <w:tc>
          <w:tcPr>
            <w:tcW w:w="506" w:type="pct"/>
            <w:tcBorders>
              <w:tl2br w:val="nil"/>
              <w:tr2bl w:val="nil"/>
            </w:tcBorders>
            <w:shd w:val="clear" w:color="auto" w:fill="auto"/>
            <w:vAlign w:val="top"/>
          </w:tcPr>
          <w:p w14:paraId="3BC61B98">
            <w:pPr>
              <w:pStyle w:val="19"/>
              <w:ind w:left="0" w:leftChars="0"/>
              <w:rPr>
                <w:rFonts w:hint="eastAsia"/>
                <w:color w:val="auto"/>
              </w:rPr>
            </w:pPr>
            <w:r>
              <w:rPr>
                <w:color w:val="auto"/>
              </w:rPr>
              <w:t>备注</w:t>
            </w:r>
          </w:p>
        </w:tc>
      </w:tr>
      <w:tr w14:paraId="4981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36CDEE9D">
            <w:pPr>
              <w:rPr>
                <w:rFonts w:hint="eastAsia"/>
              </w:rPr>
            </w:pPr>
            <w:r>
              <w:rPr>
                <w:rFonts w:hint="eastAsia"/>
              </w:rPr>
              <w:t>1、</w:t>
            </w:r>
          </w:p>
        </w:tc>
        <w:tc>
          <w:tcPr>
            <w:tcW w:w="542" w:type="pct"/>
            <w:vMerge w:val="restart"/>
            <w:tcBorders>
              <w:tl2br w:val="nil"/>
              <w:tr2bl w:val="nil"/>
            </w:tcBorders>
            <w:shd w:val="clear" w:color="auto" w:fill="auto"/>
            <w:vAlign w:val="center"/>
          </w:tcPr>
          <w:p w14:paraId="15E96543">
            <w:pPr>
              <w:rPr>
                <w:rFonts w:hint="eastAsia"/>
                <w:sz w:val="18"/>
                <w:szCs w:val="18"/>
              </w:rPr>
            </w:pPr>
            <w:r>
              <w:rPr>
                <w:rFonts w:hint="eastAsia"/>
                <w:sz w:val="18"/>
                <w:szCs w:val="18"/>
              </w:rPr>
              <w:t>外形尺寸</w:t>
            </w:r>
          </w:p>
        </w:tc>
        <w:tc>
          <w:tcPr>
            <w:tcW w:w="1408" w:type="pct"/>
            <w:tcBorders>
              <w:tl2br w:val="nil"/>
              <w:tr2bl w:val="nil"/>
            </w:tcBorders>
            <w:shd w:val="clear" w:color="auto" w:fill="auto"/>
            <w:vAlign w:val="center"/>
          </w:tcPr>
          <w:p w14:paraId="1DEA0B34">
            <w:pPr>
              <w:rPr>
                <w:rFonts w:hint="default" w:eastAsia="宋体"/>
                <w:sz w:val="18"/>
                <w:szCs w:val="18"/>
                <w:lang w:val="en-US" w:eastAsia="zh-CN"/>
              </w:rPr>
            </w:pPr>
            <w:r>
              <w:rPr>
                <w:rFonts w:hint="eastAsia"/>
                <w:sz w:val="18"/>
                <w:szCs w:val="18"/>
              </w:rPr>
              <w:t>格子机 ：长≤1470mm，厚≤42</w:t>
            </w:r>
            <w:r>
              <w:rPr>
                <w:rFonts w:hint="eastAsia"/>
                <w:sz w:val="18"/>
                <w:szCs w:val="18"/>
                <w:lang w:val="en-US" w:eastAsia="zh-CN"/>
              </w:rPr>
              <w:t>1</w:t>
            </w:r>
            <w:r>
              <w:rPr>
                <w:rFonts w:hint="eastAsia"/>
                <w:sz w:val="18"/>
                <w:szCs w:val="18"/>
              </w:rPr>
              <w:t>mm，高≤1920mm</w:t>
            </w:r>
          </w:p>
        </w:tc>
        <w:tc>
          <w:tcPr>
            <w:tcW w:w="1306" w:type="pct"/>
            <w:tcBorders>
              <w:tl2br w:val="nil"/>
              <w:tr2bl w:val="nil"/>
            </w:tcBorders>
            <w:shd w:val="clear" w:color="auto" w:fill="auto"/>
            <w:vAlign w:val="center"/>
          </w:tcPr>
          <w:p w14:paraId="648D8621">
            <w:pPr>
              <w:rPr>
                <w:rFonts w:hint="eastAsia"/>
              </w:rPr>
            </w:pPr>
          </w:p>
        </w:tc>
        <w:tc>
          <w:tcPr>
            <w:tcW w:w="881" w:type="pct"/>
            <w:tcBorders>
              <w:tl2br w:val="nil"/>
              <w:tr2bl w:val="nil"/>
            </w:tcBorders>
            <w:shd w:val="clear" w:color="auto" w:fill="auto"/>
            <w:vAlign w:val="center"/>
          </w:tcPr>
          <w:p w14:paraId="704D962B">
            <w:pPr>
              <w:rPr>
                <w:rFonts w:hint="eastAsia"/>
              </w:rPr>
            </w:pPr>
          </w:p>
        </w:tc>
        <w:tc>
          <w:tcPr>
            <w:tcW w:w="506" w:type="pct"/>
            <w:tcBorders>
              <w:tl2br w:val="nil"/>
              <w:tr2bl w:val="nil"/>
            </w:tcBorders>
            <w:shd w:val="clear" w:color="auto" w:fill="auto"/>
            <w:vAlign w:val="center"/>
          </w:tcPr>
          <w:p w14:paraId="2CEB01B1">
            <w:pPr>
              <w:rPr>
                <w:rFonts w:hint="eastAsia"/>
              </w:rPr>
            </w:pPr>
          </w:p>
        </w:tc>
      </w:tr>
      <w:tr w14:paraId="1E8B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7A3F2E0F">
            <w:pPr>
              <w:rPr>
                <w:rFonts w:hint="eastAsia"/>
              </w:rPr>
            </w:pPr>
            <w:r>
              <w:rPr>
                <w:rFonts w:hint="eastAsia"/>
              </w:rPr>
              <w:t>2、</w:t>
            </w:r>
          </w:p>
        </w:tc>
        <w:tc>
          <w:tcPr>
            <w:tcW w:w="542" w:type="pct"/>
            <w:vMerge w:val="continue"/>
            <w:tcBorders>
              <w:tl2br w:val="nil"/>
              <w:tr2bl w:val="nil"/>
            </w:tcBorders>
            <w:vAlign w:val="center"/>
          </w:tcPr>
          <w:p w14:paraId="473DB550">
            <w:pPr>
              <w:rPr>
                <w:rFonts w:hint="eastAsia"/>
                <w:sz w:val="18"/>
                <w:szCs w:val="18"/>
              </w:rPr>
            </w:pPr>
          </w:p>
        </w:tc>
        <w:tc>
          <w:tcPr>
            <w:tcW w:w="1408" w:type="pct"/>
            <w:tcBorders>
              <w:tl2br w:val="nil"/>
              <w:tr2bl w:val="nil"/>
            </w:tcBorders>
            <w:shd w:val="clear" w:color="auto" w:fill="auto"/>
            <w:vAlign w:val="center"/>
          </w:tcPr>
          <w:p w14:paraId="71A0D36C">
            <w:pPr>
              <w:rPr>
                <w:rFonts w:hint="eastAsia"/>
                <w:sz w:val="18"/>
                <w:szCs w:val="18"/>
              </w:rPr>
            </w:pPr>
            <w:r>
              <w:rPr>
                <w:rFonts w:hint="eastAsia"/>
                <w:sz w:val="18"/>
                <w:szCs w:val="18"/>
              </w:rPr>
              <w:t>推杆机：长≤1400mm，厚≤900mm，高≤1950mm</w:t>
            </w:r>
          </w:p>
        </w:tc>
        <w:tc>
          <w:tcPr>
            <w:tcW w:w="1306" w:type="pct"/>
            <w:tcBorders>
              <w:tl2br w:val="nil"/>
              <w:tr2bl w:val="nil"/>
            </w:tcBorders>
            <w:shd w:val="clear" w:color="auto" w:fill="auto"/>
            <w:vAlign w:val="center"/>
          </w:tcPr>
          <w:p w14:paraId="51DB5078">
            <w:pPr>
              <w:rPr>
                <w:rFonts w:hint="eastAsia"/>
              </w:rPr>
            </w:pPr>
          </w:p>
        </w:tc>
        <w:tc>
          <w:tcPr>
            <w:tcW w:w="881" w:type="pct"/>
            <w:tcBorders>
              <w:tl2br w:val="nil"/>
              <w:tr2bl w:val="nil"/>
            </w:tcBorders>
            <w:shd w:val="clear" w:color="auto" w:fill="auto"/>
            <w:vAlign w:val="center"/>
          </w:tcPr>
          <w:p w14:paraId="1DA32521">
            <w:pPr>
              <w:rPr>
                <w:rFonts w:hint="eastAsia"/>
              </w:rPr>
            </w:pPr>
          </w:p>
        </w:tc>
        <w:tc>
          <w:tcPr>
            <w:tcW w:w="506" w:type="pct"/>
            <w:tcBorders>
              <w:tl2br w:val="nil"/>
              <w:tr2bl w:val="nil"/>
            </w:tcBorders>
            <w:shd w:val="clear" w:color="auto" w:fill="auto"/>
            <w:vAlign w:val="center"/>
          </w:tcPr>
          <w:p w14:paraId="64DCF852">
            <w:pPr>
              <w:rPr>
                <w:rFonts w:hint="eastAsia"/>
              </w:rPr>
            </w:pPr>
          </w:p>
        </w:tc>
      </w:tr>
      <w:tr w14:paraId="5C6E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0AC536F2">
            <w:pPr>
              <w:rPr>
                <w:rFonts w:hint="eastAsia"/>
              </w:rPr>
            </w:pPr>
            <w:r>
              <w:rPr>
                <w:rFonts w:hint="eastAsia"/>
              </w:rPr>
              <w:t>3、</w:t>
            </w:r>
          </w:p>
        </w:tc>
        <w:tc>
          <w:tcPr>
            <w:tcW w:w="542" w:type="pct"/>
            <w:vMerge w:val="restart"/>
            <w:tcBorders>
              <w:tl2br w:val="nil"/>
              <w:tr2bl w:val="nil"/>
            </w:tcBorders>
            <w:shd w:val="clear" w:color="auto" w:fill="auto"/>
            <w:vAlign w:val="center"/>
          </w:tcPr>
          <w:p w14:paraId="642E5F24">
            <w:pPr>
              <w:rPr>
                <w:rFonts w:hint="eastAsia"/>
                <w:sz w:val="18"/>
                <w:szCs w:val="18"/>
              </w:rPr>
            </w:pPr>
            <w:r>
              <w:rPr>
                <w:rFonts w:hint="eastAsia"/>
                <w:sz w:val="18"/>
                <w:szCs w:val="18"/>
              </w:rPr>
              <w:t>单台设备占地面积</w:t>
            </w:r>
          </w:p>
        </w:tc>
        <w:tc>
          <w:tcPr>
            <w:tcW w:w="1408" w:type="pct"/>
            <w:tcBorders>
              <w:tl2br w:val="nil"/>
              <w:tr2bl w:val="nil"/>
            </w:tcBorders>
            <w:shd w:val="clear" w:color="auto" w:fill="auto"/>
            <w:vAlign w:val="center"/>
          </w:tcPr>
          <w:p w14:paraId="19A25EF1">
            <w:pPr>
              <w:rPr>
                <w:rFonts w:hint="eastAsia" w:eastAsia="宋体"/>
                <w:sz w:val="18"/>
                <w:szCs w:val="18"/>
                <w:lang w:val="en-US" w:eastAsia="zh-CN"/>
              </w:rPr>
            </w:pPr>
            <w:r>
              <w:rPr>
                <w:rFonts w:hint="eastAsia"/>
                <w:sz w:val="18"/>
                <w:szCs w:val="18"/>
              </w:rPr>
              <w:t>格子机 ：≤0.62平方米</w:t>
            </w:r>
          </w:p>
        </w:tc>
        <w:tc>
          <w:tcPr>
            <w:tcW w:w="1306" w:type="pct"/>
            <w:tcBorders>
              <w:tl2br w:val="nil"/>
              <w:tr2bl w:val="nil"/>
            </w:tcBorders>
            <w:shd w:val="clear" w:color="auto" w:fill="auto"/>
            <w:vAlign w:val="center"/>
          </w:tcPr>
          <w:p w14:paraId="33151A7B">
            <w:pPr>
              <w:rPr>
                <w:rFonts w:hint="eastAsia"/>
              </w:rPr>
            </w:pPr>
          </w:p>
        </w:tc>
        <w:tc>
          <w:tcPr>
            <w:tcW w:w="881" w:type="pct"/>
            <w:tcBorders>
              <w:tl2br w:val="nil"/>
              <w:tr2bl w:val="nil"/>
            </w:tcBorders>
            <w:shd w:val="clear" w:color="auto" w:fill="auto"/>
            <w:vAlign w:val="center"/>
          </w:tcPr>
          <w:p w14:paraId="765F306D">
            <w:pPr>
              <w:rPr>
                <w:rFonts w:hint="eastAsia"/>
              </w:rPr>
            </w:pPr>
          </w:p>
        </w:tc>
        <w:tc>
          <w:tcPr>
            <w:tcW w:w="506" w:type="pct"/>
            <w:tcBorders>
              <w:tl2br w:val="nil"/>
              <w:tr2bl w:val="nil"/>
            </w:tcBorders>
            <w:shd w:val="clear" w:color="auto" w:fill="auto"/>
            <w:vAlign w:val="center"/>
          </w:tcPr>
          <w:p w14:paraId="16B0D696">
            <w:pPr>
              <w:rPr>
                <w:rFonts w:hint="eastAsia"/>
              </w:rPr>
            </w:pPr>
          </w:p>
        </w:tc>
      </w:tr>
      <w:tr w14:paraId="5E03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4398B457">
            <w:pPr>
              <w:rPr>
                <w:rFonts w:hint="eastAsia"/>
              </w:rPr>
            </w:pPr>
            <w:r>
              <w:rPr>
                <w:rFonts w:hint="eastAsia"/>
              </w:rPr>
              <w:t>4、</w:t>
            </w:r>
          </w:p>
        </w:tc>
        <w:tc>
          <w:tcPr>
            <w:tcW w:w="542" w:type="pct"/>
            <w:vMerge w:val="continue"/>
            <w:tcBorders>
              <w:tl2br w:val="nil"/>
              <w:tr2bl w:val="nil"/>
            </w:tcBorders>
            <w:vAlign w:val="center"/>
          </w:tcPr>
          <w:p w14:paraId="27755C95">
            <w:pPr>
              <w:rPr>
                <w:rFonts w:hint="eastAsia"/>
                <w:sz w:val="18"/>
                <w:szCs w:val="18"/>
              </w:rPr>
            </w:pPr>
          </w:p>
        </w:tc>
        <w:tc>
          <w:tcPr>
            <w:tcW w:w="1408" w:type="pct"/>
            <w:tcBorders>
              <w:tl2br w:val="nil"/>
              <w:tr2bl w:val="nil"/>
            </w:tcBorders>
            <w:shd w:val="clear" w:color="auto" w:fill="auto"/>
            <w:vAlign w:val="center"/>
          </w:tcPr>
          <w:p w14:paraId="4447852E">
            <w:pPr>
              <w:rPr>
                <w:rFonts w:hint="eastAsia"/>
                <w:sz w:val="18"/>
                <w:szCs w:val="18"/>
              </w:rPr>
            </w:pPr>
            <w:r>
              <w:rPr>
                <w:rFonts w:hint="eastAsia"/>
                <w:sz w:val="18"/>
                <w:szCs w:val="18"/>
              </w:rPr>
              <w:t>推杆机：≤1.26平方米</w:t>
            </w:r>
          </w:p>
        </w:tc>
        <w:tc>
          <w:tcPr>
            <w:tcW w:w="1306" w:type="pct"/>
            <w:tcBorders>
              <w:tl2br w:val="nil"/>
              <w:tr2bl w:val="nil"/>
            </w:tcBorders>
            <w:shd w:val="clear" w:color="auto" w:fill="auto"/>
            <w:vAlign w:val="center"/>
          </w:tcPr>
          <w:p w14:paraId="3088A640">
            <w:pPr>
              <w:rPr>
                <w:rFonts w:hint="eastAsia"/>
              </w:rPr>
            </w:pPr>
          </w:p>
        </w:tc>
        <w:tc>
          <w:tcPr>
            <w:tcW w:w="881" w:type="pct"/>
            <w:tcBorders>
              <w:tl2br w:val="nil"/>
              <w:tr2bl w:val="nil"/>
            </w:tcBorders>
            <w:shd w:val="clear" w:color="auto" w:fill="auto"/>
            <w:vAlign w:val="center"/>
          </w:tcPr>
          <w:p w14:paraId="10EEE99D">
            <w:pPr>
              <w:rPr>
                <w:rFonts w:hint="eastAsia"/>
              </w:rPr>
            </w:pPr>
          </w:p>
        </w:tc>
        <w:tc>
          <w:tcPr>
            <w:tcW w:w="506" w:type="pct"/>
            <w:tcBorders>
              <w:tl2br w:val="nil"/>
              <w:tr2bl w:val="nil"/>
            </w:tcBorders>
            <w:shd w:val="clear" w:color="auto" w:fill="auto"/>
            <w:vAlign w:val="center"/>
          </w:tcPr>
          <w:p w14:paraId="454CFEB0">
            <w:pPr>
              <w:rPr>
                <w:rFonts w:hint="eastAsia"/>
              </w:rPr>
            </w:pPr>
          </w:p>
        </w:tc>
      </w:tr>
      <w:tr w14:paraId="781B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091B708E">
            <w:pPr>
              <w:rPr>
                <w:rFonts w:hint="eastAsia"/>
              </w:rPr>
            </w:pPr>
            <w:r>
              <w:rPr>
                <w:rFonts w:hint="eastAsia"/>
              </w:rPr>
              <w:t>5、</w:t>
            </w:r>
          </w:p>
        </w:tc>
        <w:tc>
          <w:tcPr>
            <w:tcW w:w="542" w:type="pct"/>
            <w:tcBorders>
              <w:tl2br w:val="nil"/>
              <w:tr2bl w:val="nil"/>
            </w:tcBorders>
            <w:shd w:val="clear" w:color="auto" w:fill="auto"/>
            <w:vAlign w:val="center"/>
          </w:tcPr>
          <w:p w14:paraId="1A605F54">
            <w:pPr>
              <w:rPr>
                <w:rFonts w:hint="eastAsia"/>
                <w:sz w:val="18"/>
                <w:szCs w:val="18"/>
              </w:rPr>
            </w:pPr>
            <w:r>
              <w:rPr>
                <w:rFonts w:hint="eastAsia"/>
                <w:sz w:val="18"/>
                <w:szCs w:val="18"/>
              </w:rPr>
              <w:t>额定功率</w:t>
            </w:r>
          </w:p>
        </w:tc>
        <w:tc>
          <w:tcPr>
            <w:tcW w:w="1408" w:type="pct"/>
            <w:tcBorders>
              <w:tl2br w:val="nil"/>
              <w:tr2bl w:val="nil"/>
            </w:tcBorders>
            <w:shd w:val="clear" w:color="auto" w:fill="auto"/>
            <w:vAlign w:val="center"/>
          </w:tcPr>
          <w:p w14:paraId="3573646B">
            <w:pPr>
              <w:rPr>
                <w:rFonts w:hint="eastAsia"/>
                <w:sz w:val="18"/>
                <w:szCs w:val="18"/>
              </w:rPr>
            </w:pPr>
            <w:r>
              <w:rPr>
                <w:rFonts w:hint="eastAsia"/>
                <w:sz w:val="18"/>
                <w:szCs w:val="18"/>
              </w:rPr>
              <w:t>≤100W</w:t>
            </w:r>
          </w:p>
        </w:tc>
        <w:tc>
          <w:tcPr>
            <w:tcW w:w="1306" w:type="pct"/>
            <w:tcBorders>
              <w:tl2br w:val="nil"/>
              <w:tr2bl w:val="nil"/>
            </w:tcBorders>
            <w:shd w:val="clear" w:color="auto" w:fill="auto"/>
            <w:vAlign w:val="center"/>
          </w:tcPr>
          <w:p w14:paraId="794BFF1E">
            <w:pPr>
              <w:rPr>
                <w:rFonts w:hint="eastAsia"/>
              </w:rPr>
            </w:pPr>
          </w:p>
        </w:tc>
        <w:tc>
          <w:tcPr>
            <w:tcW w:w="881" w:type="pct"/>
            <w:tcBorders>
              <w:tl2br w:val="nil"/>
              <w:tr2bl w:val="nil"/>
            </w:tcBorders>
            <w:shd w:val="clear" w:color="auto" w:fill="auto"/>
            <w:vAlign w:val="center"/>
          </w:tcPr>
          <w:p w14:paraId="15B1DD6A">
            <w:pPr>
              <w:rPr>
                <w:rFonts w:hint="eastAsia"/>
              </w:rPr>
            </w:pPr>
          </w:p>
        </w:tc>
        <w:tc>
          <w:tcPr>
            <w:tcW w:w="506" w:type="pct"/>
            <w:tcBorders>
              <w:tl2br w:val="nil"/>
              <w:tr2bl w:val="nil"/>
            </w:tcBorders>
            <w:shd w:val="clear" w:color="auto" w:fill="auto"/>
            <w:vAlign w:val="center"/>
          </w:tcPr>
          <w:p w14:paraId="6E4B7365">
            <w:pPr>
              <w:rPr>
                <w:rFonts w:hint="eastAsia"/>
              </w:rPr>
            </w:pPr>
          </w:p>
        </w:tc>
      </w:tr>
      <w:tr w14:paraId="42B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11B96D2E">
            <w:pPr>
              <w:rPr>
                <w:rFonts w:hint="eastAsia"/>
              </w:rPr>
            </w:pPr>
            <w:r>
              <w:rPr>
                <w:rFonts w:hint="eastAsia"/>
              </w:rPr>
              <w:t>6、</w:t>
            </w:r>
          </w:p>
        </w:tc>
        <w:tc>
          <w:tcPr>
            <w:tcW w:w="542" w:type="pct"/>
            <w:tcBorders>
              <w:tl2br w:val="nil"/>
              <w:tr2bl w:val="nil"/>
            </w:tcBorders>
            <w:shd w:val="clear" w:color="auto" w:fill="auto"/>
            <w:vAlign w:val="center"/>
          </w:tcPr>
          <w:p w14:paraId="26A25F6F">
            <w:pPr>
              <w:rPr>
                <w:rFonts w:hint="eastAsia"/>
                <w:sz w:val="18"/>
                <w:szCs w:val="18"/>
              </w:rPr>
            </w:pPr>
            <w:r>
              <w:rPr>
                <w:rFonts w:hint="eastAsia"/>
                <w:sz w:val="18"/>
                <w:szCs w:val="18"/>
              </w:rPr>
              <w:t>网络接入</w:t>
            </w:r>
          </w:p>
        </w:tc>
        <w:tc>
          <w:tcPr>
            <w:tcW w:w="1408" w:type="pct"/>
            <w:tcBorders>
              <w:tl2br w:val="nil"/>
              <w:tr2bl w:val="nil"/>
            </w:tcBorders>
            <w:shd w:val="clear" w:color="auto" w:fill="auto"/>
            <w:vAlign w:val="center"/>
          </w:tcPr>
          <w:p w14:paraId="6DA69E3A">
            <w:pPr>
              <w:rPr>
                <w:rFonts w:hint="eastAsia"/>
                <w:sz w:val="18"/>
                <w:szCs w:val="18"/>
              </w:rPr>
            </w:pPr>
            <w:r>
              <w:rPr>
                <w:rFonts w:hint="eastAsia"/>
                <w:sz w:val="18"/>
                <w:szCs w:val="18"/>
              </w:rPr>
              <w:t>支持4G物联卡</w:t>
            </w:r>
          </w:p>
        </w:tc>
        <w:tc>
          <w:tcPr>
            <w:tcW w:w="1306" w:type="pct"/>
            <w:tcBorders>
              <w:tl2br w:val="nil"/>
              <w:tr2bl w:val="nil"/>
            </w:tcBorders>
            <w:shd w:val="clear" w:color="auto" w:fill="auto"/>
            <w:vAlign w:val="center"/>
          </w:tcPr>
          <w:p w14:paraId="7B16D10D">
            <w:pPr>
              <w:rPr>
                <w:rFonts w:hint="eastAsia"/>
              </w:rPr>
            </w:pPr>
          </w:p>
        </w:tc>
        <w:tc>
          <w:tcPr>
            <w:tcW w:w="881" w:type="pct"/>
            <w:tcBorders>
              <w:tl2br w:val="nil"/>
              <w:tr2bl w:val="nil"/>
            </w:tcBorders>
            <w:shd w:val="clear" w:color="auto" w:fill="auto"/>
            <w:vAlign w:val="center"/>
          </w:tcPr>
          <w:p w14:paraId="71F96BD3">
            <w:pPr>
              <w:rPr>
                <w:rFonts w:hint="eastAsia"/>
              </w:rPr>
            </w:pPr>
          </w:p>
        </w:tc>
        <w:tc>
          <w:tcPr>
            <w:tcW w:w="506" w:type="pct"/>
            <w:tcBorders>
              <w:tl2br w:val="nil"/>
              <w:tr2bl w:val="nil"/>
            </w:tcBorders>
            <w:shd w:val="clear" w:color="auto" w:fill="auto"/>
            <w:vAlign w:val="center"/>
          </w:tcPr>
          <w:p w14:paraId="586398D3">
            <w:pPr>
              <w:rPr>
                <w:rFonts w:hint="eastAsia"/>
              </w:rPr>
            </w:pPr>
          </w:p>
        </w:tc>
      </w:tr>
      <w:tr w14:paraId="24F0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5B29C25C">
            <w:pPr>
              <w:rPr>
                <w:rFonts w:hint="eastAsia"/>
              </w:rPr>
            </w:pPr>
            <w:r>
              <w:rPr>
                <w:rFonts w:hint="eastAsia"/>
              </w:rPr>
              <w:t>7、</w:t>
            </w:r>
          </w:p>
        </w:tc>
        <w:tc>
          <w:tcPr>
            <w:tcW w:w="542" w:type="pct"/>
            <w:tcBorders>
              <w:tl2br w:val="nil"/>
              <w:tr2bl w:val="nil"/>
            </w:tcBorders>
            <w:shd w:val="clear" w:color="auto" w:fill="auto"/>
            <w:vAlign w:val="center"/>
          </w:tcPr>
          <w:p w14:paraId="5326798A">
            <w:pPr>
              <w:rPr>
                <w:rFonts w:hint="eastAsia"/>
                <w:sz w:val="18"/>
                <w:szCs w:val="18"/>
              </w:rPr>
            </w:pPr>
            <w:r>
              <w:rPr>
                <w:rFonts w:hint="eastAsia"/>
                <w:sz w:val="18"/>
                <w:szCs w:val="18"/>
              </w:rPr>
              <w:t>操控屏幕</w:t>
            </w:r>
          </w:p>
        </w:tc>
        <w:tc>
          <w:tcPr>
            <w:tcW w:w="1408" w:type="pct"/>
            <w:tcBorders>
              <w:tl2br w:val="nil"/>
              <w:tr2bl w:val="nil"/>
            </w:tcBorders>
            <w:shd w:val="clear" w:color="auto" w:fill="auto"/>
            <w:vAlign w:val="center"/>
          </w:tcPr>
          <w:p w14:paraId="5AADD42F">
            <w:pPr>
              <w:rPr>
                <w:rFonts w:hint="eastAsia"/>
                <w:sz w:val="18"/>
                <w:szCs w:val="18"/>
              </w:rPr>
            </w:pPr>
            <w:r>
              <w:rPr>
                <w:rFonts w:hint="eastAsia"/>
                <w:sz w:val="18"/>
                <w:szCs w:val="18"/>
              </w:rPr>
              <w:t>≥10寸</w:t>
            </w:r>
          </w:p>
        </w:tc>
        <w:tc>
          <w:tcPr>
            <w:tcW w:w="1306" w:type="pct"/>
            <w:tcBorders>
              <w:tl2br w:val="nil"/>
              <w:tr2bl w:val="nil"/>
            </w:tcBorders>
            <w:shd w:val="clear" w:color="auto" w:fill="auto"/>
            <w:vAlign w:val="center"/>
          </w:tcPr>
          <w:p w14:paraId="40104105">
            <w:pPr>
              <w:rPr>
                <w:rFonts w:hint="eastAsia"/>
              </w:rPr>
            </w:pPr>
          </w:p>
        </w:tc>
        <w:tc>
          <w:tcPr>
            <w:tcW w:w="881" w:type="pct"/>
            <w:tcBorders>
              <w:tl2br w:val="nil"/>
              <w:tr2bl w:val="nil"/>
            </w:tcBorders>
            <w:shd w:val="clear" w:color="auto" w:fill="auto"/>
            <w:vAlign w:val="center"/>
          </w:tcPr>
          <w:p w14:paraId="47FC9369">
            <w:pPr>
              <w:rPr>
                <w:rFonts w:hint="eastAsia"/>
              </w:rPr>
            </w:pPr>
          </w:p>
        </w:tc>
        <w:tc>
          <w:tcPr>
            <w:tcW w:w="506" w:type="pct"/>
            <w:tcBorders>
              <w:tl2br w:val="nil"/>
              <w:tr2bl w:val="nil"/>
            </w:tcBorders>
            <w:shd w:val="clear" w:color="auto" w:fill="auto"/>
            <w:vAlign w:val="center"/>
          </w:tcPr>
          <w:p w14:paraId="0F5693F7">
            <w:pPr>
              <w:rPr>
                <w:rFonts w:hint="eastAsia"/>
              </w:rPr>
            </w:pPr>
          </w:p>
        </w:tc>
      </w:tr>
      <w:tr w14:paraId="3B10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6B872353">
            <w:pPr>
              <w:rPr>
                <w:rFonts w:hint="eastAsia"/>
              </w:rPr>
            </w:pPr>
            <w:r>
              <w:rPr>
                <w:rFonts w:hint="eastAsia"/>
              </w:rPr>
              <w:t>8、</w:t>
            </w:r>
          </w:p>
        </w:tc>
        <w:tc>
          <w:tcPr>
            <w:tcW w:w="542" w:type="pct"/>
            <w:tcBorders>
              <w:tl2br w:val="nil"/>
              <w:tr2bl w:val="nil"/>
            </w:tcBorders>
            <w:shd w:val="clear" w:color="auto" w:fill="auto"/>
            <w:vAlign w:val="center"/>
          </w:tcPr>
          <w:p w14:paraId="79B7F617">
            <w:pPr>
              <w:rPr>
                <w:rFonts w:hint="eastAsia"/>
                <w:sz w:val="18"/>
                <w:szCs w:val="18"/>
              </w:rPr>
            </w:pPr>
            <w:r>
              <w:rPr>
                <w:rFonts w:hint="eastAsia"/>
                <w:sz w:val="18"/>
                <w:szCs w:val="18"/>
              </w:rPr>
              <w:t>操作系统</w:t>
            </w:r>
          </w:p>
        </w:tc>
        <w:tc>
          <w:tcPr>
            <w:tcW w:w="1408" w:type="pct"/>
            <w:tcBorders>
              <w:tl2br w:val="nil"/>
              <w:tr2bl w:val="nil"/>
            </w:tcBorders>
            <w:shd w:val="clear" w:color="auto" w:fill="auto"/>
            <w:vAlign w:val="center"/>
          </w:tcPr>
          <w:p w14:paraId="29F0B7AB">
            <w:pPr>
              <w:rPr>
                <w:rFonts w:hint="eastAsia"/>
                <w:sz w:val="18"/>
                <w:szCs w:val="18"/>
              </w:rPr>
            </w:pPr>
            <w:r>
              <w:rPr>
                <w:rFonts w:hint="eastAsia"/>
                <w:sz w:val="18"/>
                <w:szCs w:val="18"/>
              </w:rPr>
              <w:t>安卓</w:t>
            </w:r>
          </w:p>
        </w:tc>
        <w:tc>
          <w:tcPr>
            <w:tcW w:w="1306" w:type="pct"/>
            <w:tcBorders>
              <w:tl2br w:val="nil"/>
              <w:tr2bl w:val="nil"/>
            </w:tcBorders>
            <w:shd w:val="clear" w:color="auto" w:fill="auto"/>
            <w:vAlign w:val="center"/>
          </w:tcPr>
          <w:p w14:paraId="6610B64B">
            <w:pPr>
              <w:rPr>
                <w:rFonts w:hint="eastAsia"/>
              </w:rPr>
            </w:pPr>
          </w:p>
        </w:tc>
        <w:tc>
          <w:tcPr>
            <w:tcW w:w="881" w:type="pct"/>
            <w:tcBorders>
              <w:tl2br w:val="nil"/>
              <w:tr2bl w:val="nil"/>
            </w:tcBorders>
            <w:shd w:val="clear" w:color="auto" w:fill="auto"/>
            <w:vAlign w:val="center"/>
          </w:tcPr>
          <w:p w14:paraId="2CF9BBF1">
            <w:pPr>
              <w:rPr>
                <w:rFonts w:hint="eastAsia"/>
              </w:rPr>
            </w:pPr>
          </w:p>
        </w:tc>
        <w:tc>
          <w:tcPr>
            <w:tcW w:w="506" w:type="pct"/>
            <w:tcBorders>
              <w:tl2br w:val="nil"/>
              <w:tr2bl w:val="nil"/>
            </w:tcBorders>
            <w:shd w:val="clear" w:color="auto" w:fill="auto"/>
            <w:vAlign w:val="center"/>
          </w:tcPr>
          <w:p w14:paraId="615DD6BF">
            <w:pPr>
              <w:rPr>
                <w:rFonts w:hint="eastAsia"/>
              </w:rPr>
            </w:pPr>
          </w:p>
        </w:tc>
      </w:tr>
      <w:tr w14:paraId="1332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028DE391">
            <w:pPr>
              <w:rPr>
                <w:rFonts w:hint="eastAsia"/>
              </w:rPr>
            </w:pPr>
            <w:r>
              <w:rPr>
                <w:rFonts w:hint="eastAsia"/>
              </w:rPr>
              <w:t>9、</w:t>
            </w:r>
          </w:p>
        </w:tc>
        <w:tc>
          <w:tcPr>
            <w:tcW w:w="542" w:type="pct"/>
            <w:tcBorders>
              <w:tl2br w:val="nil"/>
              <w:tr2bl w:val="nil"/>
            </w:tcBorders>
            <w:shd w:val="clear" w:color="auto" w:fill="auto"/>
            <w:vAlign w:val="center"/>
          </w:tcPr>
          <w:p w14:paraId="285AC003">
            <w:pPr>
              <w:rPr>
                <w:rFonts w:hint="eastAsia"/>
                <w:sz w:val="18"/>
                <w:szCs w:val="18"/>
              </w:rPr>
            </w:pPr>
            <w:r>
              <w:rPr>
                <w:rFonts w:hint="eastAsia"/>
                <w:sz w:val="18"/>
                <w:szCs w:val="18"/>
              </w:rPr>
              <w:t>取货方式</w:t>
            </w:r>
          </w:p>
        </w:tc>
        <w:tc>
          <w:tcPr>
            <w:tcW w:w="1408" w:type="pct"/>
            <w:tcBorders>
              <w:tl2br w:val="nil"/>
              <w:tr2bl w:val="nil"/>
            </w:tcBorders>
            <w:shd w:val="clear" w:color="auto" w:fill="auto"/>
            <w:vAlign w:val="center"/>
          </w:tcPr>
          <w:p w14:paraId="04724AB0">
            <w:pPr>
              <w:rPr>
                <w:rFonts w:hint="eastAsia"/>
                <w:sz w:val="18"/>
                <w:szCs w:val="18"/>
              </w:rPr>
            </w:pPr>
            <w:r>
              <w:rPr>
                <w:rFonts w:hint="eastAsia"/>
                <w:sz w:val="18"/>
                <w:szCs w:val="18"/>
              </w:rPr>
              <w:t>升降式或者电磁锁开门</w:t>
            </w:r>
          </w:p>
        </w:tc>
        <w:tc>
          <w:tcPr>
            <w:tcW w:w="1306" w:type="pct"/>
            <w:tcBorders>
              <w:tl2br w:val="nil"/>
              <w:tr2bl w:val="nil"/>
            </w:tcBorders>
            <w:shd w:val="clear" w:color="auto" w:fill="auto"/>
            <w:vAlign w:val="center"/>
          </w:tcPr>
          <w:p w14:paraId="5866A2DD">
            <w:pPr>
              <w:rPr>
                <w:rFonts w:hint="eastAsia"/>
              </w:rPr>
            </w:pPr>
          </w:p>
        </w:tc>
        <w:tc>
          <w:tcPr>
            <w:tcW w:w="881" w:type="pct"/>
            <w:tcBorders>
              <w:tl2br w:val="nil"/>
              <w:tr2bl w:val="nil"/>
            </w:tcBorders>
            <w:shd w:val="clear" w:color="auto" w:fill="auto"/>
            <w:vAlign w:val="center"/>
          </w:tcPr>
          <w:p w14:paraId="472F152A">
            <w:pPr>
              <w:rPr>
                <w:rFonts w:hint="eastAsia"/>
              </w:rPr>
            </w:pPr>
          </w:p>
        </w:tc>
        <w:tc>
          <w:tcPr>
            <w:tcW w:w="506" w:type="pct"/>
            <w:tcBorders>
              <w:tl2br w:val="nil"/>
              <w:tr2bl w:val="nil"/>
            </w:tcBorders>
            <w:shd w:val="clear" w:color="auto" w:fill="auto"/>
            <w:vAlign w:val="center"/>
          </w:tcPr>
          <w:p w14:paraId="0359C315">
            <w:pPr>
              <w:rPr>
                <w:rFonts w:hint="eastAsia"/>
              </w:rPr>
            </w:pPr>
          </w:p>
        </w:tc>
      </w:tr>
      <w:tr w14:paraId="66B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2FA3F2B6">
            <w:pPr>
              <w:rPr>
                <w:rFonts w:hint="eastAsia"/>
              </w:rPr>
            </w:pPr>
            <w:r>
              <w:rPr>
                <w:rFonts w:hint="eastAsia"/>
              </w:rPr>
              <w:t>10、</w:t>
            </w:r>
          </w:p>
        </w:tc>
        <w:tc>
          <w:tcPr>
            <w:tcW w:w="542" w:type="pct"/>
            <w:tcBorders>
              <w:tl2br w:val="nil"/>
              <w:tr2bl w:val="nil"/>
            </w:tcBorders>
            <w:shd w:val="clear" w:color="auto" w:fill="auto"/>
            <w:vAlign w:val="center"/>
          </w:tcPr>
          <w:p w14:paraId="70132459">
            <w:pPr>
              <w:rPr>
                <w:rFonts w:hint="eastAsia"/>
                <w:sz w:val="18"/>
                <w:szCs w:val="18"/>
              </w:rPr>
            </w:pPr>
            <w:r>
              <w:rPr>
                <w:rFonts w:hint="eastAsia"/>
                <w:sz w:val="18"/>
                <w:szCs w:val="18"/>
              </w:rPr>
              <w:t>支付方式</w:t>
            </w:r>
          </w:p>
        </w:tc>
        <w:tc>
          <w:tcPr>
            <w:tcW w:w="1408" w:type="pct"/>
            <w:tcBorders>
              <w:tl2br w:val="nil"/>
              <w:tr2bl w:val="nil"/>
            </w:tcBorders>
            <w:shd w:val="clear" w:color="auto" w:fill="auto"/>
            <w:vAlign w:val="center"/>
          </w:tcPr>
          <w:p w14:paraId="0C3D658F">
            <w:pPr>
              <w:rPr>
                <w:rFonts w:hint="eastAsia"/>
                <w:sz w:val="18"/>
                <w:szCs w:val="18"/>
              </w:rPr>
            </w:pPr>
            <w:r>
              <w:rPr>
                <w:rFonts w:hint="eastAsia"/>
                <w:sz w:val="18"/>
                <w:szCs w:val="18"/>
              </w:rPr>
              <w:t>微信/支付宝扫码支付</w:t>
            </w:r>
          </w:p>
        </w:tc>
        <w:tc>
          <w:tcPr>
            <w:tcW w:w="1306" w:type="pct"/>
            <w:tcBorders>
              <w:tl2br w:val="nil"/>
              <w:tr2bl w:val="nil"/>
            </w:tcBorders>
            <w:shd w:val="clear" w:color="auto" w:fill="auto"/>
            <w:vAlign w:val="center"/>
          </w:tcPr>
          <w:p w14:paraId="653AA7E0">
            <w:pPr>
              <w:rPr>
                <w:rFonts w:hint="eastAsia"/>
              </w:rPr>
            </w:pPr>
          </w:p>
        </w:tc>
        <w:tc>
          <w:tcPr>
            <w:tcW w:w="881" w:type="pct"/>
            <w:tcBorders>
              <w:tl2br w:val="nil"/>
              <w:tr2bl w:val="nil"/>
            </w:tcBorders>
            <w:shd w:val="clear" w:color="auto" w:fill="auto"/>
            <w:vAlign w:val="center"/>
          </w:tcPr>
          <w:p w14:paraId="76D2D8AB">
            <w:pPr>
              <w:rPr>
                <w:rFonts w:hint="eastAsia"/>
              </w:rPr>
            </w:pPr>
          </w:p>
        </w:tc>
        <w:tc>
          <w:tcPr>
            <w:tcW w:w="506" w:type="pct"/>
            <w:tcBorders>
              <w:tl2br w:val="nil"/>
              <w:tr2bl w:val="nil"/>
            </w:tcBorders>
            <w:shd w:val="clear" w:color="auto" w:fill="auto"/>
            <w:vAlign w:val="center"/>
          </w:tcPr>
          <w:p w14:paraId="1DFFCEAF">
            <w:pPr>
              <w:rPr>
                <w:rFonts w:hint="eastAsia"/>
              </w:rPr>
            </w:pPr>
          </w:p>
        </w:tc>
      </w:tr>
      <w:tr w14:paraId="068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6D039C9D">
            <w:pPr>
              <w:rPr>
                <w:rFonts w:hint="eastAsia"/>
              </w:rPr>
            </w:pPr>
            <w:r>
              <w:rPr>
                <w:rFonts w:hint="eastAsia"/>
              </w:rPr>
              <w:t>11、</w:t>
            </w:r>
          </w:p>
        </w:tc>
        <w:tc>
          <w:tcPr>
            <w:tcW w:w="542" w:type="pct"/>
            <w:tcBorders>
              <w:tl2br w:val="nil"/>
              <w:tr2bl w:val="nil"/>
            </w:tcBorders>
            <w:shd w:val="clear" w:color="auto" w:fill="auto"/>
            <w:vAlign w:val="center"/>
          </w:tcPr>
          <w:p w14:paraId="674F3C4B">
            <w:pPr>
              <w:rPr>
                <w:rFonts w:hint="eastAsia"/>
                <w:sz w:val="18"/>
                <w:szCs w:val="18"/>
              </w:rPr>
            </w:pPr>
            <w:r>
              <w:rPr>
                <w:rFonts w:hint="eastAsia"/>
                <w:sz w:val="18"/>
                <w:szCs w:val="18"/>
              </w:rPr>
              <w:t>纸质小票</w:t>
            </w:r>
          </w:p>
        </w:tc>
        <w:tc>
          <w:tcPr>
            <w:tcW w:w="1408" w:type="pct"/>
            <w:tcBorders>
              <w:tl2br w:val="nil"/>
              <w:tr2bl w:val="nil"/>
            </w:tcBorders>
            <w:shd w:val="clear" w:color="auto" w:fill="auto"/>
            <w:vAlign w:val="center"/>
          </w:tcPr>
          <w:p w14:paraId="42EDB0C8">
            <w:pPr>
              <w:rPr>
                <w:rFonts w:hint="eastAsia"/>
                <w:sz w:val="18"/>
                <w:szCs w:val="18"/>
              </w:rPr>
            </w:pPr>
            <w:r>
              <w:rPr>
                <w:rFonts w:hint="eastAsia"/>
                <w:sz w:val="18"/>
                <w:szCs w:val="18"/>
              </w:rPr>
              <w:t>自带或选配</w:t>
            </w:r>
          </w:p>
        </w:tc>
        <w:tc>
          <w:tcPr>
            <w:tcW w:w="1306" w:type="pct"/>
            <w:tcBorders>
              <w:tl2br w:val="nil"/>
              <w:tr2bl w:val="nil"/>
            </w:tcBorders>
            <w:shd w:val="clear" w:color="auto" w:fill="auto"/>
            <w:vAlign w:val="center"/>
          </w:tcPr>
          <w:p w14:paraId="463EDD32">
            <w:pPr>
              <w:rPr>
                <w:rFonts w:hint="eastAsia"/>
              </w:rPr>
            </w:pPr>
          </w:p>
        </w:tc>
        <w:tc>
          <w:tcPr>
            <w:tcW w:w="881" w:type="pct"/>
            <w:tcBorders>
              <w:tl2br w:val="nil"/>
              <w:tr2bl w:val="nil"/>
            </w:tcBorders>
            <w:shd w:val="clear" w:color="auto" w:fill="auto"/>
            <w:vAlign w:val="center"/>
          </w:tcPr>
          <w:p w14:paraId="7556544C">
            <w:pPr>
              <w:rPr>
                <w:rFonts w:hint="eastAsia"/>
              </w:rPr>
            </w:pPr>
          </w:p>
        </w:tc>
        <w:tc>
          <w:tcPr>
            <w:tcW w:w="506" w:type="pct"/>
            <w:tcBorders>
              <w:tl2br w:val="nil"/>
              <w:tr2bl w:val="nil"/>
            </w:tcBorders>
            <w:shd w:val="clear" w:color="auto" w:fill="auto"/>
            <w:vAlign w:val="center"/>
          </w:tcPr>
          <w:p w14:paraId="23EC752A">
            <w:pPr>
              <w:rPr>
                <w:rFonts w:hint="eastAsia"/>
              </w:rPr>
            </w:pPr>
          </w:p>
        </w:tc>
      </w:tr>
      <w:tr w14:paraId="4EB7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5" w:type="pct"/>
            <w:tcBorders>
              <w:tl2br w:val="nil"/>
              <w:tr2bl w:val="nil"/>
            </w:tcBorders>
            <w:shd w:val="clear" w:color="auto" w:fill="auto"/>
            <w:noWrap/>
            <w:vAlign w:val="center"/>
          </w:tcPr>
          <w:p w14:paraId="7A69C79E">
            <w:pPr>
              <w:rPr>
                <w:rFonts w:hint="eastAsia"/>
              </w:rPr>
            </w:pPr>
            <w:r>
              <w:rPr>
                <w:rFonts w:hint="eastAsia"/>
              </w:rPr>
              <w:t>12、</w:t>
            </w:r>
          </w:p>
        </w:tc>
        <w:tc>
          <w:tcPr>
            <w:tcW w:w="542" w:type="pct"/>
            <w:tcBorders>
              <w:tl2br w:val="nil"/>
              <w:tr2bl w:val="nil"/>
            </w:tcBorders>
            <w:shd w:val="clear" w:color="auto" w:fill="auto"/>
            <w:vAlign w:val="center"/>
          </w:tcPr>
          <w:p w14:paraId="7949AE39">
            <w:pPr>
              <w:rPr>
                <w:rFonts w:hint="eastAsia"/>
                <w:sz w:val="18"/>
                <w:szCs w:val="18"/>
              </w:rPr>
            </w:pPr>
            <w:r>
              <w:rPr>
                <w:rFonts w:hint="eastAsia"/>
                <w:sz w:val="18"/>
                <w:szCs w:val="18"/>
              </w:rPr>
              <w:t>副机连接</w:t>
            </w:r>
          </w:p>
        </w:tc>
        <w:tc>
          <w:tcPr>
            <w:tcW w:w="1408" w:type="pct"/>
            <w:tcBorders>
              <w:tl2br w:val="nil"/>
              <w:tr2bl w:val="nil"/>
            </w:tcBorders>
            <w:shd w:val="clear" w:color="auto" w:fill="auto"/>
            <w:vAlign w:val="center"/>
          </w:tcPr>
          <w:p w14:paraId="7D954846">
            <w:pPr>
              <w:rPr>
                <w:rFonts w:hint="eastAsia"/>
                <w:sz w:val="18"/>
                <w:szCs w:val="18"/>
              </w:rPr>
            </w:pPr>
            <w:r>
              <w:rPr>
                <w:rFonts w:hint="eastAsia"/>
                <w:sz w:val="18"/>
                <w:szCs w:val="18"/>
              </w:rPr>
              <w:t>售货机设备应支持连接副机功能。</w:t>
            </w:r>
          </w:p>
        </w:tc>
        <w:tc>
          <w:tcPr>
            <w:tcW w:w="1306" w:type="pct"/>
            <w:tcBorders>
              <w:tl2br w:val="nil"/>
              <w:tr2bl w:val="nil"/>
            </w:tcBorders>
            <w:shd w:val="clear" w:color="auto" w:fill="auto"/>
            <w:vAlign w:val="center"/>
          </w:tcPr>
          <w:p w14:paraId="796AF114">
            <w:pPr>
              <w:rPr>
                <w:rFonts w:hint="eastAsia"/>
              </w:rPr>
            </w:pPr>
          </w:p>
        </w:tc>
        <w:tc>
          <w:tcPr>
            <w:tcW w:w="881" w:type="pct"/>
            <w:tcBorders>
              <w:tl2br w:val="nil"/>
              <w:tr2bl w:val="nil"/>
            </w:tcBorders>
            <w:shd w:val="clear" w:color="auto" w:fill="auto"/>
            <w:vAlign w:val="center"/>
          </w:tcPr>
          <w:p w14:paraId="65CA478A">
            <w:pPr>
              <w:rPr>
                <w:rFonts w:hint="eastAsia"/>
              </w:rPr>
            </w:pPr>
          </w:p>
        </w:tc>
        <w:tc>
          <w:tcPr>
            <w:tcW w:w="506" w:type="pct"/>
            <w:tcBorders>
              <w:tl2br w:val="nil"/>
              <w:tr2bl w:val="nil"/>
            </w:tcBorders>
            <w:shd w:val="clear" w:color="auto" w:fill="auto"/>
            <w:vAlign w:val="center"/>
          </w:tcPr>
          <w:p w14:paraId="7A05C7DD">
            <w:pPr>
              <w:rPr>
                <w:rFonts w:hint="eastAsia"/>
              </w:rPr>
            </w:pPr>
          </w:p>
        </w:tc>
      </w:tr>
      <w:tr w14:paraId="5811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5" w:type="pct"/>
            <w:tcBorders>
              <w:tl2br w:val="nil"/>
              <w:tr2bl w:val="nil"/>
            </w:tcBorders>
            <w:shd w:val="clear" w:color="auto" w:fill="auto"/>
            <w:noWrap/>
            <w:vAlign w:val="center"/>
          </w:tcPr>
          <w:p w14:paraId="2F05D3BC">
            <w:pPr>
              <w:rPr>
                <w:rFonts w:hint="eastAsia"/>
              </w:rPr>
            </w:pPr>
            <w:r>
              <w:rPr>
                <w:rFonts w:hint="eastAsia"/>
              </w:rPr>
              <w:t>13、</w:t>
            </w:r>
          </w:p>
        </w:tc>
        <w:tc>
          <w:tcPr>
            <w:tcW w:w="542" w:type="pct"/>
            <w:tcBorders>
              <w:tl2br w:val="nil"/>
              <w:tr2bl w:val="nil"/>
            </w:tcBorders>
            <w:shd w:val="clear" w:color="auto" w:fill="auto"/>
            <w:vAlign w:val="center"/>
          </w:tcPr>
          <w:p w14:paraId="6D9779DB">
            <w:pPr>
              <w:rPr>
                <w:rFonts w:hint="eastAsia"/>
                <w:sz w:val="18"/>
                <w:szCs w:val="18"/>
              </w:rPr>
            </w:pPr>
            <w:r>
              <w:rPr>
                <w:rFonts w:hint="eastAsia"/>
                <w:sz w:val="18"/>
                <w:szCs w:val="18"/>
              </w:rPr>
              <w:t>患者教育</w:t>
            </w:r>
          </w:p>
        </w:tc>
        <w:tc>
          <w:tcPr>
            <w:tcW w:w="1408" w:type="pct"/>
            <w:tcBorders>
              <w:tl2br w:val="nil"/>
              <w:tr2bl w:val="nil"/>
            </w:tcBorders>
            <w:shd w:val="clear" w:color="auto" w:fill="auto"/>
            <w:vAlign w:val="center"/>
          </w:tcPr>
          <w:p w14:paraId="101F3375">
            <w:pPr>
              <w:rPr>
                <w:rFonts w:hint="eastAsia"/>
                <w:sz w:val="18"/>
                <w:szCs w:val="18"/>
              </w:rPr>
            </w:pPr>
            <w:r>
              <w:rPr>
                <w:rFonts w:hint="eastAsia"/>
                <w:sz w:val="18"/>
                <w:szCs w:val="18"/>
              </w:rPr>
              <w:t>售货机设备应支持播放患者教育，政策宣传视频文字功能。患者操作手机端不得有各种形式的广告功能。</w:t>
            </w:r>
          </w:p>
        </w:tc>
        <w:tc>
          <w:tcPr>
            <w:tcW w:w="1306" w:type="pct"/>
            <w:tcBorders>
              <w:tl2br w:val="nil"/>
              <w:tr2bl w:val="nil"/>
            </w:tcBorders>
            <w:shd w:val="clear" w:color="auto" w:fill="auto"/>
            <w:vAlign w:val="center"/>
          </w:tcPr>
          <w:p w14:paraId="1029FB24">
            <w:pPr>
              <w:rPr>
                <w:rFonts w:hint="eastAsia"/>
              </w:rPr>
            </w:pPr>
          </w:p>
        </w:tc>
        <w:tc>
          <w:tcPr>
            <w:tcW w:w="881" w:type="pct"/>
            <w:tcBorders>
              <w:tl2br w:val="nil"/>
              <w:tr2bl w:val="nil"/>
            </w:tcBorders>
            <w:shd w:val="clear" w:color="auto" w:fill="auto"/>
            <w:vAlign w:val="center"/>
          </w:tcPr>
          <w:p w14:paraId="2651B5F2">
            <w:pPr>
              <w:rPr>
                <w:rFonts w:hint="eastAsia"/>
              </w:rPr>
            </w:pPr>
          </w:p>
        </w:tc>
        <w:tc>
          <w:tcPr>
            <w:tcW w:w="506" w:type="pct"/>
            <w:tcBorders>
              <w:tl2br w:val="nil"/>
              <w:tr2bl w:val="nil"/>
            </w:tcBorders>
            <w:shd w:val="clear" w:color="auto" w:fill="auto"/>
            <w:vAlign w:val="center"/>
          </w:tcPr>
          <w:p w14:paraId="490D7A02">
            <w:pPr>
              <w:rPr>
                <w:rFonts w:hint="eastAsia"/>
              </w:rPr>
            </w:pPr>
          </w:p>
        </w:tc>
      </w:tr>
      <w:tr w14:paraId="5705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5" w:type="pct"/>
            <w:tcBorders>
              <w:tl2br w:val="nil"/>
              <w:tr2bl w:val="nil"/>
            </w:tcBorders>
            <w:shd w:val="clear" w:color="auto" w:fill="auto"/>
            <w:noWrap/>
            <w:vAlign w:val="center"/>
          </w:tcPr>
          <w:p w14:paraId="4F0CA1F9">
            <w:pPr>
              <w:rPr>
                <w:rFonts w:hint="eastAsia"/>
              </w:rPr>
            </w:pPr>
            <w:r>
              <w:rPr>
                <w:rFonts w:hint="eastAsia"/>
              </w:rPr>
              <w:t>14、</w:t>
            </w:r>
          </w:p>
        </w:tc>
        <w:tc>
          <w:tcPr>
            <w:tcW w:w="542" w:type="pct"/>
            <w:tcBorders>
              <w:tl2br w:val="nil"/>
              <w:tr2bl w:val="nil"/>
            </w:tcBorders>
            <w:shd w:val="clear" w:color="auto" w:fill="auto"/>
            <w:vAlign w:val="center"/>
          </w:tcPr>
          <w:p w14:paraId="7F082D0A">
            <w:pPr>
              <w:rPr>
                <w:rFonts w:hint="eastAsia"/>
                <w:sz w:val="18"/>
                <w:szCs w:val="18"/>
              </w:rPr>
            </w:pPr>
            <w:r>
              <w:rPr>
                <w:rFonts w:hint="eastAsia"/>
                <w:sz w:val="18"/>
                <w:szCs w:val="18"/>
              </w:rPr>
              <w:t>商品展示</w:t>
            </w:r>
          </w:p>
        </w:tc>
        <w:tc>
          <w:tcPr>
            <w:tcW w:w="1408" w:type="pct"/>
            <w:tcBorders>
              <w:tl2br w:val="nil"/>
              <w:tr2bl w:val="nil"/>
            </w:tcBorders>
            <w:shd w:val="clear" w:color="auto" w:fill="auto"/>
            <w:vAlign w:val="center"/>
          </w:tcPr>
          <w:p w14:paraId="1B6337F7">
            <w:pPr>
              <w:rPr>
                <w:rFonts w:hint="eastAsia"/>
                <w:sz w:val="18"/>
                <w:szCs w:val="18"/>
              </w:rPr>
            </w:pPr>
            <w:r>
              <w:rPr>
                <w:rFonts w:hint="eastAsia"/>
                <w:sz w:val="18"/>
                <w:szCs w:val="18"/>
              </w:rPr>
              <w:t>售货机设备应支持顾客能够直观看到售卖的商品，让其自主选择、自由购买</w:t>
            </w:r>
          </w:p>
        </w:tc>
        <w:tc>
          <w:tcPr>
            <w:tcW w:w="1306" w:type="pct"/>
            <w:tcBorders>
              <w:tl2br w:val="nil"/>
              <w:tr2bl w:val="nil"/>
            </w:tcBorders>
            <w:shd w:val="clear" w:color="auto" w:fill="auto"/>
            <w:vAlign w:val="center"/>
          </w:tcPr>
          <w:p w14:paraId="2DEEC6D3">
            <w:pPr>
              <w:rPr>
                <w:rFonts w:hint="eastAsia"/>
              </w:rPr>
            </w:pPr>
          </w:p>
        </w:tc>
        <w:tc>
          <w:tcPr>
            <w:tcW w:w="881" w:type="pct"/>
            <w:tcBorders>
              <w:tl2br w:val="nil"/>
              <w:tr2bl w:val="nil"/>
            </w:tcBorders>
            <w:shd w:val="clear" w:color="auto" w:fill="auto"/>
            <w:vAlign w:val="center"/>
          </w:tcPr>
          <w:p w14:paraId="6A9CF8C8">
            <w:pPr>
              <w:rPr>
                <w:rFonts w:hint="eastAsia"/>
              </w:rPr>
            </w:pPr>
          </w:p>
        </w:tc>
        <w:tc>
          <w:tcPr>
            <w:tcW w:w="506" w:type="pct"/>
            <w:tcBorders>
              <w:tl2br w:val="nil"/>
              <w:tr2bl w:val="nil"/>
            </w:tcBorders>
            <w:shd w:val="clear" w:color="auto" w:fill="auto"/>
            <w:vAlign w:val="center"/>
          </w:tcPr>
          <w:p w14:paraId="54BDB496">
            <w:pPr>
              <w:rPr>
                <w:rFonts w:hint="eastAsia"/>
              </w:rPr>
            </w:pPr>
          </w:p>
        </w:tc>
      </w:tr>
      <w:tr w14:paraId="3446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355" w:type="pct"/>
            <w:tcBorders>
              <w:tl2br w:val="nil"/>
              <w:tr2bl w:val="nil"/>
            </w:tcBorders>
            <w:shd w:val="clear" w:color="auto" w:fill="auto"/>
            <w:noWrap/>
            <w:vAlign w:val="center"/>
          </w:tcPr>
          <w:p w14:paraId="639A180B">
            <w:pPr>
              <w:rPr>
                <w:rFonts w:hint="eastAsia"/>
              </w:rPr>
            </w:pPr>
            <w:r>
              <w:rPr>
                <w:rFonts w:hint="eastAsia"/>
              </w:rPr>
              <w:t>15、</w:t>
            </w:r>
          </w:p>
        </w:tc>
        <w:tc>
          <w:tcPr>
            <w:tcW w:w="542" w:type="pct"/>
            <w:tcBorders>
              <w:tl2br w:val="nil"/>
              <w:tr2bl w:val="nil"/>
            </w:tcBorders>
            <w:shd w:val="clear" w:color="auto" w:fill="auto"/>
            <w:vAlign w:val="center"/>
          </w:tcPr>
          <w:p w14:paraId="38A85462">
            <w:pPr>
              <w:rPr>
                <w:rFonts w:hint="eastAsia"/>
                <w:sz w:val="18"/>
                <w:szCs w:val="18"/>
              </w:rPr>
            </w:pPr>
            <w:r>
              <w:rPr>
                <w:rFonts w:hint="eastAsia"/>
                <w:sz w:val="18"/>
                <w:szCs w:val="18"/>
              </w:rPr>
              <w:t>货道取货</w:t>
            </w:r>
          </w:p>
        </w:tc>
        <w:tc>
          <w:tcPr>
            <w:tcW w:w="1408" w:type="pct"/>
            <w:tcBorders>
              <w:tl2br w:val="nil"/>
              <w:tr2bl w:val="nil"/>
            </w:tcBorders>
            <w:shd w:val="clear" w:color="auto" w:fill="auto"/>
            <w:vAlign w:val="center"/>
          </w:tcPr>
          <w:p w14:paraId="6C700E5B">
            <w:pPr>
              <w:rPr>
                <w:rFonts w:hint="eastAsia"/>
                <w:sz w:val="18"/>
                <w:szCs w:val="18"/>
              </w:rPr>
            </w:pPr>
            <w:r>
              <w:rPr>
                <w:rFonts w:hint="eastAsia"/>
                <w:sz w:val="18"/>
                <w:szCs w:val="18"/>
              </w:rPr>
              <w:t>售货机应支持售卖各种类型的产品（含易脆、不规则、大尺寸等）售卖，若使用格子机则一台格子售货机设备支持不少于三种（含）规格大中小格子货道</w:t>
            </w:r>
            <w:r>
              <w:rPr>
                <w:rFonts w:hint="eastAsia"/>
                <w:sz w:val="18"/>
                <w:szCs w:val="18"/>
                <w:lang w:eastAsia="zh-CN"/>
              </w:rPr>
              <w:t>；</w:t>
            </w:r>
            <w:r>
              <w:rPr>
                <w:rFonts w:hint="eastAsia"/>
                <w:sz w:val="18"/>
                <w:szCs w:val="18"/>
              </w:rPr>
              <w:t>若使用推杆机设备则必须</w:t>
            </w:r>
            <w:r>
              <w:rPr>
                <w:rFonts w:hint="eastAsia"/>
                <w:sz w:val="18"/>
                <w:szCs w:val="18"/>
                <w:highlight w:val="none"/>
              </w:rPr>
              <w:t>采用</w:t>
            </w:r>
            <w:r>
              <w:rPr>
                <w:rFonts w:hint="eastAsia" w:ascii="宋体" w:hAnsi="宋体" w:eastAsia="宋体" w:cs="宋体"/>
                <w:bCs/>
                <w:sz w:val="18"/>
                <w:szCs w:val="18"/>
                <w:highlight w:val="none"/>
                <w:lang w:val="en-US" w:eastAsia="zh-CN"/>
              </w:rPr>
              <w:t>升降式</w:t>
            </w:r>
            <w:r>
              <w:rPr>
                <w:rFonts w:hint="eastAsia"/>
                <w:sz w:val="18"/>
                <w:szCs w:val="18"/>
                <w:highlight w:val="none"/>
              </w:rPr>
              <w:t>设备</w:t>
            </w:r>
            <w:r>
              <w:rPr>
                <w:rFonts w:hint="eastAsia"/>
                <w:sz w:val="18"/>
                <w:szCs w:val="18"/>
              </w:rPr>
              <w:t>，避免商品破损</w:t>
            </w:r>
            <w:r>
              <w:rPr>
                <w:rFonts w:hint="eastAsia"/>
                <w:sz w:val="18"/>
                <w:szCs w:val="18"/>
                <w:lang w:eastAsia="zh-CN"/>
              </w:rPr>
              <w:t>。</w:t>
            </w:r>
          </w:p>
        </w:tc>
        <w:tc>
          <w:tcPr>
            <w:tcW w:w="1306" w:type="pct"/>
            <w:tcBorders>
              <w:tl2br w:val="nil"/>
              <w:tr2bl w:val="nil"/>
            </w:tcBorders>
            <w:shd w:val="clear" w:color="auto" w:fill="auto"/>
            <w:vAlign w:val="center"/>
          </w:tcPr>
          <w:p w14:paraId="2E208108">
            <w:pPr>
              <w:rPr>
                <w:rFonts w:hint="eastAsia"/>
              </w:rPr>
            </w:pPr>
          </w:p>
        </w:tc>
        <w:tc>
          <w:tcPr>
            <w:tcW w:w="881" w:type="pct"/>
            <w:tcBorders>
              <w:tl2br w:val="nil"/>
              <w:tr2bl w:val="nil"/>
            </w:tcBorders>
            <w:shd w:val="clear" w:color="auto" w:fill="auto"/>
            <w:vAlign w:val="center"/>
          </w:tcPr>
          <w:p w14:paraId="28D32151">
            <w:pPr>
              <w:rPr>
                <w:rFonts w:hint="eastAsia"/>
              </w:rPr>
            </w:pPr>
          </w:p>
        </w:tc>
        <w:tc>
          <w:tcPr>
            <w:tcW w:w="506" w:type="pct"/>
            <w:tcBorders>
              <w:tl2br w:val="nil"/>
              <w:tr2bl w:val="nil"/>
            </w:tcBorders>
            <w:shd w:val="clear" w:color="auto" w:fill="auto"/>
            <w:vAlign w:val="center"/>
          </w:tcPr>
          <w:p w14:paraId="53C67263">
            <w:pPr>
              <w:rPr>
                <w:rFonts w:hint="eastAsia"/>
              </w:rPr>
            </w:pPr>
          </w:p>
        </w:tc>
      </w:tr>
      <w:tr w14:paraId="3C15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355" w:type="pct"/>
            <w:tcBorders>
              <w:tl2br w:val="nil"/>
              <w:tr2bl w:val="nil"/>
            </w:tcBorders>
            <w:shd w:val="clear" w:color="auto" w:fill="auto"/>
            <w:noWrap/>
            <w:vAlign w:val="center"/>
          </w:tcPr>
          <w:p w14:paraId="696B8DC5">
            <w:pPr>
              <w:rPr>
                <w:rFonts w:hint="eastAsia"/>
              </w:rPr>
            </w:pPr>
            <w:r>
              <w:rPr>
                <w:rFonts w:hint="eastAsia"/>
              </w:rPr>
              <w:t>16、</w:t>
            </w:r>
          </w:p>
        </w:tc>
        <w:tc>
          <w:tcPr>
            <w:tcW w:w="542" w:type="pct"/>
            <w:tcBorders>
              <w:tl2br w:val="nil"/>
              <w:tr2bl w:val="nil"/>
            </w:tcBorders>
            <w:shd w:val="clear" w:color="auto" w:fill="auto"/>
            <w:vAlign w:val="center"/>
          </w:tcPr>
          <w:p w14:paraId="1EF1C68B">
            <w:pPr>
              <w:rPr>
                <w:rFonts w:hint="eastAsia"/>
                <w:sz w:val="18"/>
                <w:szCs w:val="18"/>
              </w:rPr>
            </w:pPr>
            <w:r>
              <w:rPr>
                <w:rFonts w:hint="eastAsia"/>
                <w:sz w:val="18"/>
                <w:szCs w:val="18"/>
              </w:rPr>
              <w:t>手机端操作</w:t>
            </w:r>
          </w:p>
        </w:tc>
        <w:tc>
          <w:tcPr>
            <w:tcW w:w="1408" w:type="pct"/>
            <w:tcBorders>
              <w:tl2br w:val="nil"/>
              <w:tr2bl w:val="nil"/>
            </w:tcBorders>
            <w:shd w:val="clear" w:color="auto" w:fill="auto"/>
            <w:vAlign w:val="center"/>
          </w:tcPr>
          <w:p w14:paraId="475C4535">
            <w:pPr>
              <w:rPr>
                <w:rFonts w:hint="eastAsia"/>
                <w:sz w:val="18"/>
                <w:szCs w:val="18"/>
              </w:rPr>
            </w:pPr>
            <w:r>
              <w:rPr>
                <w:rFonts w:hint="eastAsia"/>
                <w:sz w:val="18"/>
                <w:szCs w:val="18"/>
              </w:rPr>
              <w:t>售货机的补货、开门、退款功能都需在手机端完成，并可远程完成上述功能。</w:t>
            </w:r>
          </w:p>
        </w:tc>
        <w:tc>
          <w:tcPr>
            <w:tcW w:w="1306" w:type="pct"/>
            <w:tcBorders>
              <w:tl2br w:val="nil"/>
              <w:tr2bl w:val="nil"/>
            </w:tcBorders>
            <w:shd w:val="clear" w:color="auto" w:fill="auto"/>
            <w:vAlign w:val="center"/>
          </w:tcPr>
          <w:p w14:paraId="3CD4F5E7">
            <w:pPr>
              <w:rPr>
                <w:rFonts w:hint="eastAsia"/>
              </w:rPr>
            </w:pPr>
          </w:p>
        </w:tc>
        <w:tc>
          <w:tcPr>
            <w:tcW w:w="881" w:type="pct"/>
            <w:tcBorders>
              <w:tl2br w:val="nil"/>
              <w:tr2bl w:val="nil"/>
            </w:tcBorders>
            <w:shd w:val="clear" w:color="auto" w:fill="auto"/>
            <w:vAlign w:val="center"/>
          </w:tcPr>
          <w:p w14:paraId="3053E9C3">
            <w:pPr>
              <w:rPr>
                <w:rFonts w:hint="eastAsia"/>
              </w:rPr>
            </w:pPr>
          </w:p>
        </w:tc>
        <w:tc>
          <w:tcPr>
            <w:tcW w:w="506" w:type="pct"/>
            <w:tcBorders>
              <w:tl2br w:val="nil"/>
              <w:tr2bl w:val="nil"/>
            </w:tcBorders>
            <w:shd w:val="clear" w:color="auto" w:fill="auto"/>
            <w:vAlign w:val="center"/>
          </w:tcPr>
          <w:p w14:paraId="6E4EB4C1">
            <w:pPr>
              <w:rPr>
                <w:rFonts w:hint="eastAsia"/>
              </w:rPr>
            </w:pPr>
          </w:p>
        </w:tc>
      </w:tr>
    </w:tbl>
    <w:p w14:paraId="77091D61">
      <w:pPr>
        <w:numPr>
          <w:ilvl w:val="0"/>
          <w:numId w:val="0"/>
        </w:numPr>
      </w:pPr>
    </w:p>
    <w:p w14:paraId="1B41A45D">
      <w:pPr>
        <w:pStyle w:val="19"/>
      </w:pPr>
    </w:p>
    <w:p w14:paraId="64931A9A">
      <w:pPr>
        <w:pStyle w:val="19"/>
      </w:pPr>
      <w:r>
        <w:t>投标人（盖章）：XX有限公司</w:t>
      </w:r>
    </w:p>
    <w:p w14:paraId="10758E20">
      <w:pPr>
        <w:pStyle w:val="19"/>
      </w:pPr>
      <w:r>
        <w:t>法定代表人或授权代理人（签字）：</w:t>
      </w:r>
    </w:p>
    <w:p w14:paraId="662EE986">
      <w:pPr>
        <w:pStyle w:val="19"/>
      </w:pPr>
      <w:r>
        <w:t>日期：2026年XX月XX日</w:t>
      </w:r>
    </w:p>
    <w:p w14:paraId="10D925B0">
      <w:pPr>
        <w:pStyle w:val="4"/>
      </w:pPr>
      <w:r>
        <w:t>七、服务承诺函</w:t>
      </w:r>
    </w:p>
    <w:p w14:paraId="03B93D02">
      <w:pPr>
        <w:pStyle w:val="19"/>
      </w:pPr>
      <w:r>
        <w:t>致：XX医院</w:t>
      </w:r>
    </w:p>
    <w:p w14:paraId="43320581">
      <w:pPr>
        <w:pStyle w:val="19"/>
      </w:pPr>
      <w:r>
        <w:t>我方就XX医院自动</w:t>
      </w:r>
      <w:r>
        <w:rPr>
          <w:rFonts w:hint="eastAsia"/>
          <w:lang w:val="en-US" w:eastAsia="zh-CN"/>
        </w:rPr>
        <w:t>售货</w:t>
      </w:r>
      <w:r>
        <w:t>机经营服务项目，作出如下郑重承诺：</w:t>
      </w:r>
    </w:p>
    <w:p w14:paraId="6D176C1A">
      <w:pPr>
        <w:pStyle w:val="19"/>
        <w:numPr>
          <w:ilvl w:val="0"/>
          <w:numId w:val="0"/>
        </w:numPr>
        <w:ind w:leftChars="0"/>
      </w:pPr>
      <w:r>
        <w:rPr>
          <w:rFonts w:hint="eastAsia"/>
          <w:b/>
          <w:bCs/>
          <w:lang w:val="en-US" w:eastAsia="zh-CN"/>
        </w:rPr>
        <w:t>1.医疗器械</w:t>
      </w:r>
      <w:r>
        <w:rPr>
          <w:rFonts w:hint="eastAsia"/>
          <w:b w:val="0"/>
          <w:bCs w:val="0"/>
          <w:lang w:val="en-US" w:eastAsia="zh-CN"/>
        </w:rPr>
        <w:t>：</w:t>
      </w:r>
      <w:r>
        <w:t>严格</w:t>
      </w:r>
      <w:r>
        <w:rPr>
          <w:rFonts w:hint="eastAsia"/>
          <w:lang w:val="en-US" w:eastAsia="zh-CN"/>
        </w:rPr>
        <w:t>执行国家有关医用耗材管理相关规定</w:t>
      </w:r>
      <w:r>
        <w:t>，所有商品均从正规渠道采购，资质齐全，无过期、假冒伪劣商品；建立完善的商品台账，接受院方及相关部门检查；若发生</w:t>
      </w:r>
      <w:r>
        <w:rPr>
          <w:rFonts w:hint="eastAsia"/>
          <w:lang w:val="en-US" w:eastAsia="zh-CN"/>
        </w:rPr>
        <w:t>器械</w:t>
      </w:r>
      <w:r>
        <w:t>安全事故，我方自愿承担全部责任。</w:t>
      </w:r>
    </w:p>
    <w:p w14:paraId="2E2F4BB8">
      <w:pPr>
        <w:pStyle w:val="19"/>
        <w:numPr>
          <w:ilvl w:val="0"/>
          <w:numId w:val="0"/>
        </w:numPr>
        <w:ind w:leftChars="0"/>
      </w:pPr>
      <w:r>
        <w:rPr>
          <w:rFonts w:hint="eastAsia"/>
          <w:b/>
          <w:bCs/>
          <w:lang w:val="en-US" w:eastAsia="zh-CN"/>
        </w:rPr>
        <w:t>2.</w:t>
      </w:r>
      <w:r>
        <w:rPr>
          <w:b/>
          <w:bCs/>
        </w:rPr>
        <w:t>维保服务承诺</w:t>
      </w:r>
      <w:r>
        <w:t>：配备专业维保团队，提供24小时应急服务，设备故障2小时内响应，4小时内到场，24小时内修复；无法及时修复的，免费提供备用设备。</w:t>
      </w:r>
    </w:p>
    <w:p w14:paraId="29101323">
      <w:pPr>
        <w:pStyle w:val="19"/>
        <w:numPr>
          <w:ilvl w:val="0"/>
          <w:numId w:val="0"/>
        </w:numPr>
        <w:ind w:leftChars="0"/>
      </w:pPr>
      <w:r>
        <w:rPr>
          <w:rFonts w:hint="eastAsia"/>
          <w:b/>
          <w:bCs/>
          <w:lang w:val="en-US" w:eastAsia="zh-CN"/>
        </w:rPr>
        <w:t>3.</w:t>
      </w:r>
      <w:r>
        <w:rPr>
          <w:b/>
          <w:bCs/>
        </w:rPr>
        <w:t>运营服务承诺</w:t>
      </w:r>
      <w:r>
        <w:t>：</w:t>
      </w:r>
      <w:r>
        <w:rPr>
          <w:rFonts w:hint="eastAsia"/>
          <w:lang w:val="en-US" w:eastAsia="zh-CN"/>
        </w:rPr>
        <w:t>定期</w:t>
      </w:r>
      <w:r>
        <w:t>补货，确保商品库存充足，缺货率≤3%；每日清洁设备，每周消毒，每月深度消毒，符合医院卫生标准；设立24小时服务热线，卡货、支付异常即时处理，投诉办结率100%。</w:t>
      </w:r>
    </w:p>
    <w:p w14:paraId="53A2BE2D">
      <w:pPr>
        <w:pStyle w:val="19"/>
        <w:numPr>
          <w:ilvl w:val="0"/>
          <w:numId w:val="0"/>
        </w:numPr>
        <w:ind w:leftChars="0"/>
      </w:pPr>
      <w:r>
        <w:rPr>
          <w:rFonts w:hint="eastAsia"/>
          <w:b/>
          <w:bCs/>
          <w:lang w:val="en-US" w:eastAsia="zh-CN"/>
        </w:rPr>
        <w:t>4.</w:t>
      </w:r>
      <w:r>
        <w:rPr>
          <w:b/>
          <w:bCs/>
        </w:rPr>
        <w:t>合规经营承诺</w:t>
      </w:r>
      <w:r>
        <w:t>：严格遵守医院管理规定，不擅自变更点位、扩大经营范围；商品明码标价，不高于本地商超零售价；配合院方考核，若考核不合格，7日内完成整改，整改不合格接受院方处理。</w:t>
      </w:r>
    </w:p>
    <w:p w14:paraId="707D5E38">
      <w:pPr>
        <w:pStyle w:val="19"/>
        <w:numPr>
          <w:ilvl w:val="0"/>
          <w:numId w:val="0"/>
        </w:numPr>
        <w:ind w:leftChars="0"/>
      </w:pPr>
      <w:r>
        <w:rPr>
          <w:rFonts w:hint="eastAsia"/>
          <w:b/>
          <w:bCs/>
          <w:lang w:val="en-US" w:eastAsia="zh-CN"/>
        </w:rPr>
        <w:t>5.</w:t>
      </w:r>
      <w:r>
        <w:rPr>
          <w:b/>
          <w:bCs/>
        </w:rPr>
        <w:t>其他承诺</w:t>
      </w:r>
      <w:r>
        <w:t>：【可补充个性化承诺，如免费为医院提供公益宣传展示、为患者提供便民服务等】。</w:t>
      </w:r>
    </w:p>
    <w:p w14:paraId="19EEE15F">
      <w:pPr>
        <w:pStyle w:val="19"/>
      </w:pPr>
      <w:r>
        <w:t>若我方未履行上述承诺，自愿承担违约责任，接受院方扣除履约保证金、解除合同等处理。</w:t>
      </w:r>
    </w:p>
    <w:p w14:paraId="2F9A77A3">
      <w:pPr>
        <w:pStyle w:val="19"/>
      </w:pPr>
      <w:r>
        <w:t>投标人（盖章）：XX有限公司</w:t>
      </w:r>
    </w:p>
    <w:p w14:paraId="214E0501">
      <w:pPr>
        <w:pStyle w:val="19"/>
      </w:pPr>
      <w:r>
        <w:t>法定代表人或授权代理人（签字）：</w:t>
      </w:r>
    </w:p>
    <w:p w14:paraId="3472C3DE">
      <w:pPr>
        <w:pStyle w:val="19"/>
      </w:pPr>
      <w:r>
        <w:t>日期：2026年XX月XX日</w:t>
      </w:r>
    </w:p>
    <w:p w14:paraId="342949B9">
      <w:pPr>
        <w:pStyle w:val="19"/>
      </w:pPr>
    </w:p>
    <w:p w14:paraId="265E0A5F">
      <w:pPr>
        <w:pStyle w:val="19"/>
      </w:pPr>
    </w:p>
    <w:p w14:paraId="39489090">
      <w:pPr>
        <w:pStyle w:val="19"/>
      </w:pPr>
    </w:p>
    <w:p w14:paraId="146E4A58">
      <w:pPr>
        <w:pStyle w:val="19"/>
      </w:pPr>
    </w:p>
    <w:p w14:paraId="20111C79">
      <w:pPr>
        <w:pStyle w:val="19"/>
      </w:pPr>
    </w:p>
    <w:p w14:paraId="6DF434A4">
      <w:pPr>
        <w:pStyle w:val="19"/>
      </w:pPr>
    </w:p>
    <w:p w14:paraId="065C51EB">
      <w:pPr>
        <w:pStyle w:val="19"/>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034B6"/>
    <w:multiLevelType w:val="singleLevel"/>
    <w:tmpl w:val="CA1034B6"/>
    <w:lvl w:ilvl="0" w:tentative="0">
      <w:start w:val="6"/>
      <w:numFmt w:val="chineseCounting"/>
      <w:suff w:val="nothing"/>
      <w:lvlText w:val="%1、"/>
      <w:lvlJc w:val="left"/>
      <w:rPr>
        <w:rFonts w:hint="eastAsia"/>
      </w:rPr>
    </w:lvl>
  </w:abstractNum>
  <w:abstractNum w:abstractNumId="1">
    <w:nsid w:val="6141889C"/>
    <w:multiLevelType w:val="singleLevel"/>
    <w:tmpl w:val="6141889C"/>
    <w:lvl w:ilvl="0" w:tentative="0">
      <w:start w:val="2"/>
      <w:numFmt w:val="chineseCounting"/>
      <w:suff w:val="nothing"/>
      <w:lvlText w:val="%1、"/>
      <w:lvlJc w:val="left"/>
      <w:rPr>
        <w:rFonts w:hint="eastAsia"/>
      </w:rPr>
    </w:lvl>
  </w:abstractNum>
  <w:abstractNum w:abstractNumId="2">
    <w:nsid w:val="61B3466C"/>
    <w:multiLevelType w:val="singleLevel"/>
    <w:tmpl w:val="61B3466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0D676D"/>
    <w:rsid w:val="05103FE6"/>
    <w:rsid w:val="053A4F12"/>
    <w:rsid w:val="082E0EE0"/>
    <w:rsid w:val="0C0F39E3"/>
    <w:rsid w:val="103F3D25"/>
    <w:rsid w:val="14243383"/>
    <w:rsid w:val="1AC956B0"/>
    <w:rsid w:val="20E13944"/>
    <w:rsid w:val="23AD4BA9"/>
    <w:rsid w:val="305B6821"/>
    <w:rsid w:val="3131788D"/>
    <w:rsid w:val="3D7873AE"/>
    <w:rsid w:val="3F983EDD"/>
    <w:rsid w:val="40036064"/>
    <w:rsid w:val="464078D3"/>
    <w:rsid w:val="49457D1C"/>
    <w:rsid w:val="504B6141"/>
    <w:rsid w:val="5F506981"/>
    <w:rsid w:val="61B76844"/>
    <w:rsid w:val="63F73BC9"/>
    <w:rsid w:val="64D1000E"/>
    <w:rsid w:val="67C75057"/>
    <w:rsid w:val="68423C7C"/>
    <w:rsid w:val="694F1D6C"/>
    <w:rsid w:val="698A20AC"/>
    <w:rsid w:val="6C6E57C3"/>
    <w:rsid w:val="70B82B98"/>
    <w:rsid w:val="70C8530E"/>
    <w:rsid w:val="77684D22"/>
    <w:rsid w:val="78EB35B9"/>
    <w:rsid w:val="7BBF5CD1"/>
    <w:rsid w:val="7D1B76C2"/>
    <w:rsid w:val="7DE453DA"/>
    <w:rsid w:val="7E032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Strong"/>
    <w:basedOn w:val="11"/>
    <w:qFormat/>
    <w:uiPriority w:val="0"/>
    <w:rPr>
      <w:b/>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customStyle="1" w:styleId="15">
    <w:name w:val="Default"/>
    <w:next w:val="1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8"/>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2211</Words>
  <Characters>2382</Characters>
  <TotalTime>1</TotalTime>
  <ScaleCrop>false</ScaleCrop>
  <LinksUpToDate>false</LinksUpToDate>
  <CharactersWithSpaces>2397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2026-03-09T06:08:00Z</dcterms:created>
  <dc:creator>Un-named</dc:creator>
  <cp:lastModifiedBy>董巧玲</cp:lastModifiedBy>
  <dcterms:modified xsi:type="dcterms:W3CDTF">2026-04-15T00:12:41Z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eyJoZGlkIjoiYTc2ZGZiNzZiNDVlOGViOWVmM2JhOTY0NGJkNjUyYzgiLCJ1c2VySWQiOiIzNjg3MzcwOTAifQ==</vt:lpwstr>
  </property>
  <property fmtid="{D5CDD505-2E9C-101B-9397-08002B2CF9AE}" pid="3" name="KSOProductBuildVer">
    <vt:lpwstr>2052-12.1.0.25225</vt:lpwstr>
  </property>
  <property fmtid="{D5CDD505-2E9C-101B-9397-08002B2CF9AE}" pid="4" name="ICV">
    <vt:lpwstr>06CFB375825F43EA999505AF0F9A642E_12</vt:lpwstr>
  </property>
</Properties>
</file>